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336550</wp:posOffset>
            </wp:positionH>
            <wp:positionV relativeFrom="paragraph">
              <wp:posOffset>0</wp:posOffset>
            </wp:positionV>
            <wp:extent cx="2200757" cy="533659"/>
            <wp:effectExtent b="0" l="0" r="0" t="0"/>
            <wp:wrapNone/>
            <wp:docPr descr="https://lh4.googleusercontent.com/D0hwijhN9Sd6Ml_iLv2IU7WOd9sltQ7QABBpyICHzDptacBUb6E7oRldywknsy1ch1Mrzt79ru12Pj76uAEfC7ZGgO8WRTIhptYZLmzuDERIvPIACb-0FzuPiX8owbP9q-UA4HMkqBygsAX65nNQZ4tFNFoAK8jpELKHqx-Ne_Ypaln8BbDcdb3CAwS4GcZE_dyUljt7" id="577055904" name="image1.png"/>
            <a:graphic>
              <a:graphicData uri="http://schemas.openxmlformats.org/drawingml/2006/picture">
                <pic:pic>
                  <pic:nvPicPr>
                    <pic:cNvPr descr="https://lh4.googleusercontent.com/D0hwijhN9Sd6Ml_iLv2IU7WOd9sltQ7QABBpyICHzDptacBUb6E7oRldywknsy1ch1Mrzt79ru12Pj76uAEfC7ZGgO8WRTIhptYZLmzuDERIvPIACb-0FzuPiX8owbP9q-UA4HMkqBygsAX65nNQZ4tFNFoAK8jpELKHqx-Ne_Ypaln8BbDcdb3CAwS4GcZE_dyUljt7" id="0" name="image1.png"/>
                    <pic:cNvPicPr preferRelativeResize="0"/>
                  </pic:nvPicPr>
                  <pic:blipFill>
                    <a:blip r:embed="rId8"/>
                    <a:srcRect b="0" l="0" r="0" t="0"/>
                    <a:stretch>
                      <a:fillRect/>
                    </a:stretch>
                  </pic:blipFill>
                  <pic:spPr>
                    <a:xfrm>
                      <a:off x="0" y="0"/>
                      <a:ext cx="2200757" cy="53365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5143500</wp:posOffset>
            </wp:positionH>
            <wp:positionV relativeFrom="paragraph">
              <wp:posOffset>50801</wp:posOffset>
            </wp:positionV>
            <wp:extent cx="1465188" cy="394236"/>
            <wp:effectExtent b="0" l="0" r="0" t="0"/>
            <wp:wrapNone/>
            <wp:docPr descr="https://lh6.googleusercontent.com/mwZR2ejR2maHZYnADYw-6r16g8IiaBta2IHCHlGSG4vvxlPaWZ_C5vEnZwtol--PWE55m9jgfuTJHVbt5LbuqjG9-5sP5De7WgLnl6vbNW4KEmS8ywfMRAZ5LLL7SHW9TVwrVFRuokYYJ4irSqE5wbX83RkTlYGQbNiTIqBVbl5OQds9L0GhTkUSLWVtNFkkz_z4oUO1" id="577055905" name="image2.jpg"/>
            <a:graphic>
              <a:graphicData uri="http://schemas.openxmlformats.org/drawingml/2006/picture">
                <pic:pic>
                  <pic:nvPicPr>
                    <pic:cNvPr descr="https://lh6.googleusercontent.com/mwZR2ejR2maHZYnADYw-6r16g8IiaBta2IHCHlGSG4vvxlPaWZ_C5vEnZwtol--PWE55m9jgfuTJHVbt5LbuqjG9-5sP5De7WgLnl6vbNW4KEmS8ywfMRAZ5LLL7SHW9TVwrVFRuokYYJ4irSqE5wbX83RkTlYGQbNiTIqBVbl5OQds9L0GhTkUSLWVtNFkkz_z4oUO1" id="0" name="image2.jpg"/>
                    <pic:cNvPicPr preferRelativeResize="0"/>
                  </pic:nvPicPr>
                  <pic:blipFill>
                    <a:blip r:embed="rId9"/>
                    <a:srcRect b="0" l="0" r="0" t="0"/>
                    <a:stretch>
                      <a:fillRect/>
                    </a:stretch>
                  </pic:blipFill>
                  <pic:spPr>
                    <a:xfrm>
                      <a:off x="0" y="0"/>
                      <a:ext cx="1465188" cy="394236"/>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           TERMES DE RÉFÉRENCES </w:t>
      </w:r>
    </w:p>
    <w:tbl>
      <w:tblPr>
        <w:tblStyle w:val="Table1"/>
        <w:tblW w:w="10522.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8212"/>
        <w:tblGridChange w:id="0">
          <w:tblGrid>
            <w:gridCol w:w="2310"/>
            <w:gridCol w:w="8212"/>
          </w:tblGrid>
        </w:tblGridChange>
      </w:tblGrid>
      <w:tr>
        <w:trPr>
          <w:cantSplit w:val="0"/>
          <w:trHeight w:val="4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spacing w:after="0" w:line="240" w:lineRule="auto"/>
              <w:rPr/>
            </w:pPr>
            <w:r w:rsidDel="00000000" w:rsidR="00000000" w:rsidRPr="00000000">
              <w:rPr>
                <w:rtl w:val="0"/>
              </w:rPr>
              <w:t xml:space="preserve">Titre :</w:t>
            </w:r>
          </w:p>
        </w:tc>
        <w:tc>
          <w:tcPr>
            <w:shd w:fill="auto" w:val="clear"/>
            <w:tcMar>
              <w:top w:w="100.0" w:type="dxa"/>
              <w:left w:w="100.0" w:type="dxa"/>
              <w:bottom w:w="100.0" w:type="dxa"/>
              <w:right w:w="100.0" w:type="dxa"/>
            </w:tcMar>
          </w:tcPr>
          <w:p w:rsidR="00000000" w:rsidDel="00000000" w:rsidP="00000000" w:rsidRDefault="00000000" w:rsidRPr="00000000" w14:paraId="00000004">
            <w:pPr>
              <w:spacing w:after="0" w:line="240" w:lineRule="auto"/>
              <w:rPr>
                <w:color w:val="000000"/>
              </w:rPr>
            </w:pPr>
            <w:r w:rsidDel="00000000" w:rsidR="00000000" w:rsidRPr="00000000">
              <w:rPr>
                <w:b w:val="1"/>
                <w:rtl w:val="0"/>
              </w:rPr>
              <w:t xml:space="preserve">Sessions de formation des OSC et des GDF</w:t>
            </w:r>
            <w:r w:rsidDel="00000000" w:rsidR="00000000" w:rsidRPr="00000000">
              <w:rPr>
                <w:b w:val="1"/>
                <w:color w:val="000000"/>
                <w:rtl w:val="0"/>
              </w:rPr>
              <w:t xml:space="preserve"> sur les approches permettant de participer efficacement au processus législatif et de contrôle parlementaire du gouvernement</w:t>
            </w:r>
            <w:r w:rsidDel="00000000" w:rsidR="00000000" w:rsidRPr="00000000">
              <w:rPr>
                <w:b w:val="1"/>
                <w:color w:val="000000"/>
                <w:vertAlign w:val="superscript"/>
              </w:rPr>
              <w:footnoteReference w:customMarkFollows="0" w:id="0"/>
            </w:r>
            <w:r w:rsidDel="00000000" w:rsidR="00000000" w:rsidRPr="00000000">
              <w:rPr>
                <w:color w:val="000000"/>
                <w:rtl w:val="0"/>
              </w:rPr>
              <w:t xml:space="preserve"> </w:t>
            </w:r>
          </w:p>
        </w:tc>
      </w:tr>
      <w:tr>
        <w:trPr>
          <w:cantSplit w:val="0"/>
          <w:trHeight w:val="22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after="0" w:line="240" w:lineRule="auto"/>
              <w:rPr/>
            </w:pPr>
            <w:r w:rsidDel="00000000" w:rsidR="00000000" w:rsidRPr="00000000">
              <w:rPr>
                <w:rtl w:val="0"/>
              </w:rPr>
              <w:t xml:space="preserve">Projet :</w:t>
            </w:r>
          </w:p>
        </w:tc>
        <w:tc>
          <w:tcPr>
            <w:shd w:fill="auto" w:val="clear"/>
            <w:tcMar>
              <w:top w:w="100.0" w:type="dxa"/>
              <w:left w:w="100.0" w:type="dxa"/>
              <w:bottom w:w="100.0" w:type="dxa"/>
              <w:right w:w="100.0" w:type="dxa"/>
            </w:tcMar>
          </w:tcPr>
          <w:p w:rsidR="00000000" w:rsidDel="00000000" w:rsidP="00000000" w:rsidRDefault="00000000" w:rsidRPr="00000000" w14:paraId="00000006">
            <w:pPr>
              <w:spacing w:after="0" w:line="240" w:lineRule="auto"/>
              <w:rPr/>
            </w:pPr>
            <w:r w:rsidDel="00000000" w:rsidR="00000000" w:rsidRPr="00000000">
              <w:rPr>
                <w:rtl w:val="0"/>
              </w:rPr>
              <w:t xml:space="preserve">Législatures Inclusives pour des Politiques Sensibles au Genre (LIPSG)</w:t>
            </w:r>
          </w:p>
        </w:tc>
      </w:tr>
      <w:tr>
        <w:trPr>
          <w:cantSplit w:val="0"/>
          <w:trHeight w:val="2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after="0" w:line="240" w:lineRule="auto"/>
              <w:rPr/>
            </w:pPr>
            <w:r w:rsidDel="00000000" w:rsidR="00000000" w:rsidRPr="00000000">
              <w:rPr>
                <w:rtl w:val="0"/>
              </w:rPr>
              <w:t xml:space="preserve">Objet du contrat :</w:t>
            </w:r>
          </w:p>
        </w:tc>
        <w:tc>
          <w:tcPr>
            <w:shd w:fill="auto" w:val="clear"/>
            <w:tcMar>
              <w:top w:w="100.0" w:type="dxa"/>
              <w:left w:w="100.0" w:type="dxa"/>
              <w:bottom w:w="100.0" w:type="dxa"/>
              <w:right w:w="100.0" w:type="dxa"/>
            </w:tcMar>
          </w:tcPr>
          <w:p w:rsidR="00000000" w:rsidDel="00000000" w:rsidP="00000000" w:rsidRDefault="00000000" w:rsidRPr="00000000" w14:paraId="00000008">
            <w:pPr>
              <w:spacing w:after="0" w:line="240" w:lineRule="auto"/>
              <w:rPr/>
            </w:pPr>
            <w:r w:rsidDel="00000000" w:rsidR="00000000" w:rsidRPr="00000000">
              <w:rPr>
                <w:rtl w:val="0"/>
              </w:rPr>
              <w:t xml:space="preserve">Livraison de l’activité - voir livrables inscrits au TDRs et la fiche d’activité (Annexe B)</w:t>
            </w:r>
          </w:p>
        </w:tc>
      </w:tr>
      <w:tr>
        <w:trPr>
          <w:cantSplit w:val="0"/>
          <w:trHeight w:val="22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after="0" w:line="240" w:lineRule="auto"/>
              <w:rPr/>
            </w:pPr>
            <w:r w:rsidDel="00000000" w:rsidR="00000000" w:rsidRPr="00000000">
              <w:rPr>
                <w:rtl w:val="0"/>
              </w:rPr>
              <w:t xml:space="preserve">Période :</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tabs>
                <w:tab w:val="left" w:leader="none" w:pos="-90"/>
              </w:tabs>
              <w:spacing w:after="0" w:line="240" w:lineRule="auto"/>
              <w:jc w:val="both"/>
              <w:rPr/>
            </w:pPr>
            <w:r w:rsidDel="00000000" w:rsidR="00000000" w:rsidRPr="00000000">
              <w:rPr>
                <w:rtl w:val="0"/>
              </w:rPr>
              <w:t xml:space="preserve">15 février</w:t>
            </w:r>
            <w:r w:rsidDel="00000000" w:rsidR="00000000" w:rsidRPr="00000000">
              <w:rPr>
                <w:color w:val="000000"/>
                <w:rtl w:val="0"/>
              </w:rPr>
              <w:t xml:space="preserve"> au 30 mars 2024</w:t>
            </w: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after="0" w:line="240" w:lineRule="auto"/>
              <w:rPr/>
            </w:pPr>
            <w:r w:rsidDel="00000000" w:rsidR="00000000" w:rsidRPr="00000000">
              <w:rPr>
                <w:rtl w:val="0"/>
              </w:rPr>
              <w:t xml:space="preserve">Code Budgétaire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after="0" w:line="240" w:lineRule="auto"/>
              <w:rPr>
                <w:sz w:val="20"/>
                <w:szCs w:val="20"/>
              </w:rPr>
            </w:pPr>
            <w:r w:rsidDel="00000000" w:rsidR="00000000" w:rsidRPr="00000000">
              <w:rPr>
                <w:color w:val="222222"/>
                <w:rtl w:val="0"/>
              </w:rPr>
              <w:t xml:space="preserve">893-A1311.2 et 893-A1312.2</w:t>
            </w:r>
            <w:r w:rsidDel="00000000" w:rsidR="00000000" w:rsidRPr="00000000">
              <w:rPr>
                <w:rtl w:val="0"/>
              </w:rPr>
            </w:r>
          </w:p>
        </w:tc>
      </w:tr>
      <w:tr>
        <w:trPr>
          <w:cantSplit w:val="0"/>
          <w:trHeight w:val="41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after="0" w:line="240" w:lineRule="auto"/>
              <w:rPr/>
            </w:pPr>
            <w:r w:rsidDel="00000000" w:rsidR="00000000" w:rsidRPr="00000000">
              <w:rPr>
                <w:rtl w:val="0"/>
              </w:rPr>
              <w:t xml:space="preserve">Niveau d'effort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after="0" w:line="240" w:lineRule="auto"/>
              <w:rPr/>
            </w:pPr>
            <w:r w:rsidDel="00000000" w:rsidR="00000000" w:rsidRPr="00000000">
              <w:rPr>
                <w:rtl w:val="0"/>
              </w:rPr>
              <w:t xml:space="preserve">Un maximum de 5 jours/ 37,5 heures pour les deux activités dont le paiement sera en CFA ouest-africain (XOF). </w:t>
            </w:r>
          </w:p>
        </w:tc>
      </w:tr>
      <w:tr>
        <w:trPr>
          <w:cantSplit w:val="0"/>
          <w:trHeight w:val="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after="0" w:line="240" w:lineRule="auto"/>
              <w:rPr/>
            </w:pPr>
            <w:r w:rsidDel="00000000" w:rsidR="00000000" w:rsidRPr="00000000">
              <w:rPr>
                <w:rtl w:val="0"/>
              </w:rPr>
              <w:t xml:space="preserve">Effort financier :</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À remplir suite au choix du consultant </w:t>
            </w:r>
          </w:p>
        </w:tc>
      </w:tr>
      <w:tr>
        <w:trPr>
          <w:cantSplit w:val="0"/>
          <w:trHeight w:val="8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after="0" w:line="240" w:lineRule="auto"/>
              <w:rPr/>
            </w:pPr>
            <w:r w:rsidDel="00000000" w:rsidR="00000000" w:rsidRPr="00000000">
              <w:rPr>
                <w:rtl w:val="0"/>
              </w:rPr>
              <w:t xml:space="preserve">Nom du Consultant :</w:t>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tabs>
                <w:tab w:val="left" w:leader="none" w:pos="1440"/>
              </w:tabs>
              <w:spacing w:after="0" w:line="240" w:lineRule="auto"/>
              <w:ind w:left="45" w:firstLine="0"/>
              <w:jc w:val="both"/>
              <w:rPr/>
            </w:pPr>
            <w:r w:rsidDel="00000000" w:rsidR="00000000" w:rsidRPr="00000000">
              <w:rPr>
                <w:rtl w:val="0"/>
              </w:rPr>
              <w:t xml:space="preserve">xxx</w:t>
            </w:r>
          </w:p>
        </w:tc>
      </w:tr>
    </w:tbl>
    <w:p w:rsidR="00000000" w:rsidDel="00000000" w:rsidP="00000000" w:rsidRDefault="00000000" w:rsidRPr="00000000" w14:paraId="00000013">
      <w:pPr>
        <w:spacing w:after="0" w:line="240" w:lineRule="auto"/>
        <w:jc w:val="center"/>
        <w:rPr>
          <w:b w:val="1"/>
        </w:rPr>
      </w:pPr>
      <w:r w:rsidDel="00000000" w:rsidR="00000000" w:rsidRPr="00000000">
        <w:rPr>
          <w:rtl w:val="0"/>
        </w:rPr>
      </w:r>
    </w:p>
    <w:p w:rsidR="00000000" w:rsidDel="00000000" w:rsidP="00000000" w:rsidRDefault="00000000" w:rsidRPr="00000000" w14:paraId="00000014">
      <w:pPr>
        <w:spacing w:after="0" w:line="240" w:lineRule="auto"/>
        <w:jc w:val="center"/>
        <w:rPr>
          <w:i w:val="1"/>
        </w:rPr>
      </w:pPr>
      <w:r w:rsidDel="00000000" w:rsidR="00000000" w:rsidRPr="00000000">
        <w:rPr>
          <w:i w:val="1"/>
          <w:rtl w:val="0"/>
        </w:rPr>
        <w:t xml:space="preserve">L’usage du masculin dans ce document a pour unique but d’alléger le texte</w:t>
      </w:r>
    </w:p>
    <w:p w:rsidR="00000000" w:rsidDel="00000000" w:rsidP="00000000" w:rsidRDefault="00000000" w:rsidRPr="00000000" w14:paraId="00000015">
      <w:pPr>
        <w:spacing w:after="0" w:line="240" w:lineRule="auto"/>
        <w:jc w:val="center"/>
        <w:rPr>
          <w:b w:val="1"/>
        </w:rPr>
      </w:pPr>
      <w:r w:rsidDel="00000000" w:rsidR="00000000" w:rsidRPr="00000000">
        <w:rPr>
          <w:rtl w:val="0"/>
        </w:rPr>
      </w:r>
    </w:p>
    <w:p w:rsidR="00000000" w:rsidDel="00000000" w:rsidP="00000000" w:rsidRDefault="00000000" w:rsidRPr="00000000" w14:paraId="00000016">
      <w:pPr>
        <w:rPr>
          <w:b w:val="1"/>
          <w:color w:val="202124"/>
          <w:u w:val="single"/>
        </w:rPr>
      </w:pPr>
      <w:r w:rsidDel="00000000" w:rsidR="00000000" w:rsidRPr="00000000">
        <w:rPr>
          <w:b w:val="1"/>
          <w:color w:val="202124"/>
          <w:u w:val="single"/>
          <w:rtl w:val="0"/>
        </w:rPr>
        <w:t xml:space="preserve">1. Contexte et la justification de l’activité</w:t>
      </w:r>
    </w:p>
    <w:p w:rsidR="00000000" w:rsidDel="00000000" w:rsidP="00000000" w:rsidRDefault="00000000" w:rsidRPr="00000000" w14:paraId="00000017">
      <w:pPr>
        <w:spacing w:line="240" w:lineRule="auto"/>
        <w:jc w:val="both"/>
        <w:rPr/>
      </w:pPr>
      <w:r w:rsidDel="00000000" w:rsidR="00000000" w:rsidRPr="00000000">
        <w:rPr>
          <w:rtl w:val="0"/>
        </w:rPr>
        <w:t xml:space="preserve">Dans le cadre du projet des Législatives Inclusives pour des Politiques Sensibles au Genre (LIPSG), des activités d'évaluation ont été menées pour déterminer les besoins et les lacunes du parlement en matière d'égalité des sexes. Les résultats de ces activités démontrent la nécessité de renforcer la capacité des membres de l’Assemblée nationale  à s'acquitter de leurs fonctions législatives et de contrôle en tenant compte de l'égalité des sexes En outre, il a également été noté qu'il y a un manque d'implication des OSC et des groupes de défense des droits des femmes dans les activités des parlementaires, alors que les organisations de la société civile peuvent fournir des informations sur l'intégration de la dimension genre aux parlementaires par le biais de leurs expériences.</w:t>
      </w:r>
    </w:p>
    <w:p w:rsidR="00000000" w:rsidDel="00000000" w:rsidP="00000000" w:rsidRDefault="00000000" w:rsidRPr="00000000" w14:paraId="00000018">
      <w:pPr>
        <w:spacing w:line="240" w:lineRule="auto"/>
        <w:jc w:val="both"/>
        <w:rPr/>
      </w:pPr>
      <w:r w:rsidDel="00000000" w:rsidR="00000000" w:rsidRPr="00000000">
        <w:rPr>
          <w:rtl w:val="0"/>
        </w:rPr>
        <w:t xml:space="preserve">L'activité 1311.2 vise à renforcer la capacité des OSC et des groupes de défense des droits des femmes sur les approches d’un engagement efficace dans les processus législatifs qui s'attaquent aux inégalités entre les sexes. Cette activité permettra aux OSC et aux groupes de défense des droits des femmes de collaborer avec l’Assemblée nationale, en particulier les parlementaires.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L'activité 1312.2 vise à former les OSC/GDF sur le processus budgétaire de l'État afin de savoir quand et comment y participer tout en élaborant les outils et approches pour participer efficacement au contrôle parlementaire du gouvernement.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spacing w:after="0" w:lineRule="auto"/>
        <w:rPr>
          <w:b w:val="1"/>
          <w:color w:val="202124"/>
          <w:u w:val="single"/>
        </w:rPr>
      </w:pPr>
      <w:r w:rsidDel="00000000" w:rsidR="00000000" w:rsidRPr="00000000">
        <w:rPr>
          <w:b w:val="1"/>
          <w:color w:val="202124"/>
          <w:u w:val="single"/>
          <w:rtl w:val="0"/>
        </w:rPr>
        <w:t xml:space="preserve">2. Description et objectif (s) visé (s) par les activités</w:t>
      </w:r>
    </w:p>
    <w:p w:rsidR="00000000" w:rsidDel="00000000" w:rsidP="00000000" w:rsidRDefault="00000000" w:rsidRPr="00000000" w14:paraId="0000001C">
      <w:pPr>
        <w:spacing w:after="120" w:before="120" w:lineRule="auto"/>
        <w:jc w:val="both"/>
        <w:rPr>
          <w:color w:val="000000"/>
        </w:rPr>
      </w:pPr>
      <w:r w:rsidDel="00000000" w:rsidR="00000000" w:rsidRPr="00000000">
        <w:rPr>
          <w:color w:val="000000"/>
          <w:rtl w:val="0"/>
        </w:rPr>
        <w:t xml:space="preserve">Renforcer la capacité des OSC et les GDF dans un premier temps pour un engagement efficace dans les processus législatifs traitant des inégalités entre les hommes et les femmes et </w:t>
      </w:r>
      <w:r w:rsidDel="00000000" w:rsidR="00000000" w:rsidRPr="00000000">
        <w:rPr>
          <w:rtl w:val="0"/>
        </w:rPr>
        <w:t xml:space="preserve">d’autre part s</w:t>
      </w:r>
      <w:r w:rsidDel="00000000" w:rsidR="00000000" w:rsidRPr="00000000">
        <w:rPr>
          <w:color w:val="000000"/>
          <w:rtl w:val="0"/>
        </w:rPr>
        <w:t xml:space="preserve">ur le processus budgétaire de l'État, les outils et un processus clair (liste de contrôle) pour un engagement efficace dans les processus de contrôle.</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b w:val="1"/>
          <w:u w:val="single"/>
        </w:rPr>
      </w:pPr>
      <w:r w:rsidDel="00000000" w:rsidR="00000000" w:rsidRPr="00000000">
        <w:rPr>
          <w:b w:val="1"/>
          <w:u w:val="single"/>
          <w:rtl w:val="0"/>
        </w:rPr>
        <w:t xml:space="preserve">3. Durée du contrat</w:t>
      </w:r>
    </w:p>
    <w:p w:rsidR="00000000" w:rsidDel="00000000" w:rsidP="00000000" w:rsidRDefault="00000000" w:rsidRPr="00000000" w14:paraId="0000001F">
      <w:pPr>
        <w:spacing w:line="240" w:lineRule="auto"/>
        <w:jc w:val="both"/>
        <w:rPr/>
      </w:pPr>
      <w:bookmarkStart w:colFirst="0" w:colLast="0" w:name="_heading=h.30j0zll" w:id="0"/>
      <w:bookmarkEnd w:id="0"/>
      <w:r w:rsidDel="00000000" w:rsidR="00000000" w:rsidRPr="00000000">
        <w:rPr>
          <w:rtl w:val="0"/>
        </w:rPr>
        <w:t xml:space="preserve">Le consultant aura 5 jours/37,5 heures de travail sur une période d’un mois et demi (1,5) mois, allant du 15 février au 30 mars 2024, pour accomplir les deux activités.</w:t>
      </w:r>
    </w:p>
    <w:p w:rsidR="00000000" w:rsidDel="00000000" w:rsidP="00000000" w:rsidRDefault="00000000" w:rsidRPr="00000000" w14:paraId="00000020">
      <w:pPr>
        <w:spacing w:after="0" w:lineRule="auto"/>
        <w:jc w:val="both"/>
        <w:rPr/>
      </w:pPr>
      <w:r w:rsidDel="00000000" w:rsidR="00000000" w:rsidRPr="00000000">
        <w:rPr>
          <w:rtl w:val="0"/>
        </w:rPr>
      </w:r>
    </w:p>
    <w:p w:rsidR="00000000" w:rsidDel="00000000" w:rsidP="00000000" w:rsidRDefault="00000000" w:rsidRPr="00000000" w14:paraId="00000021">
      <w:pPr>
        <w:spacing w:after="0" w:lineRule="auto"/>
        <w:jc w:val="both"/>
        <w:rPr/>
      </w:pPr>
      <w:r w:rsidDel="00000000" w:rsidR="00000000" w:rsidRPr="00000000">
        <w:rPr>
          <w:rtl w:val="0"/>
        </w:rPr>
      </w:r>
    </w:p>
    <w:p w:rsidR="00000000" w:rsidDel="00000000" w:rsidP="00000000" w:rsidRDefault="00000000" w:rsidRPr="00000000" w14:paraId="00000022">
      <w:pPr>
        <w:spacing w:after="0" w:lineRule="auto"/>
        <w:jc w:val="both"/>
        <w:rPr/>
      </w:pPr>
      <w:r w:rsidDel="00000000" w:rsidR="00000000" w:rsidRPr="00000000">
        <w:rPr>
          <w:rtl w:val="0"/>
        </w:rPr>
      </w:r>
    </w:p>
    <w:p w:rsidR="00000000" w:rsidDel="00000000" w:rsidP="00000000" w:rsidRDefault="00000000" w:rsidRPr="00000000" w14:paraId="00000023">
      <w:pPr>
        <w:spacing w:after="0" w:lineRule="auto"/>
        <w:rPr>
          <w:b w:val="1"/>
          <w:u w:val="single"/>
        </w:rPr>
      </w:pPr>
      <w:r w:rsidDel="00000000" w:rsidR="00000000" w:rsidRPr="00000000">
        <w:rPr>
          <w:b w:val="1"/>
          <w:u w:val="single"/>
          <w:rtl w:val="0"/>
        </w:rPr>
        <w:t xml:space="preserve">4. Portée de la mission</w:t>
      </w:r>
    </w:p>
    <w:p w:rsidR="00000000" w:rsidDel="00000000" w:rsidP="00000000" w:rsidRDefault="00000000" w:rsidRPr="00000000" w14:paraId="00000024">
      <w:pPr>
        <w:spacing w:after="0" w:lineRule="auto"/>
        <w:rPr/>
      </w:pPr>
      <w:r w:rsidDel="00000000" w:rsidR="00000000" w:rsidRPr="00000000">
        <w:rPr>
          <w:rtl w:val="0"/>
        </w:rPr>
        <w:t xml:space="preserve">Travaillant en étroite collaboration avec l'équipe (LIPSG) du Togo, le consultant sélectionné soutiendra les activités suivantes avec des livrables spécifiques. </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color w:val="000000"/>
        </w:rPr>
      </w:pPr>
      <w:r w:rsidDel="00000000" w:rsidR="00000000" w:rsidRPr="00000000">
        <w:rPr>
          <w:b w:val="1"/>
          <w:rtl w:val="0"/>
        </w:rPr>
        <w:t xml:space="preserve">Activité 1311.2 : </w:t>
      </w:r>
      <w:r w:rsidDel="00000000" w:rsidR="00000000" w:rsidRPr="00000000">
        <w:rPr>
          <w:b w:val="1"/>
          <w:color w:val="000000"/>
          <w:rtl w:val="0"/>
        </w:rPr>
        <w:t xml:space="preserve">Sessions de formation à l'intention des OSC et des groupes de défense des droits des femmes sur les approches permettant de s'engager efficacement dans le processus législatif</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b w:val="1"/>
          <w:color w:val="000000"/>
        </w:rPr>
      </w:pPr>
      <w:r w:rsidDel="00000000" w:rsidR="00000000" w:rsidRPr="00000000">
        <w:rPr>
          <w:b w:val="1"/>
          <w:color w:val="000000"/>
          <w:rtl w:val="0"/>
        </w:rPr>
        <w:t xml:space="preserve">Organiser une session de formation</w:t>
      </w:r>
      <w:r w:rsidDel="00000000" w:rsidR="00000000" w:rsidRPr="00000000">
        <w:rPr>
          <w:color w:val="000000"/>
          <w:rtl w:val="0"/>
        </w:rPr>
        <w:t xml:space="preserve"> à l'intention des OSC et des GDF sur la meilleure façon de s'engager avec les comités/caucus dans le processus législatif qui représente les besoins et les points de vue des femmes et des filles en utilisant la législation actuelle ou le projet de loi et développer des outils pour aider les OSC et les GDF à s'engager efficacement dans le processus législatif ;</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rPr>
      </w:pPr>
      <w:r w:rsidDel="00000000" w:rsidR="00000000" w:rsidRPr="00000000">
        <w:rPr>
          <w:b w:val="1"/>
          <w:rtl w:val="0"/>
        </w:rPr>
        <w:t xml:space="preserve">Activité 1312.2 : </w:t>
      </w:r>
      <w:r w:rsidDel="00000000" w:rsidR="00000000" w:rsidRPr="00000000">
        <w:rPr>
          <w:b w:val="1"/>
          <w:color w:val="000000"/>
          <w:rtl w:val="0"/>
        </w:rPr>
        <w:t xml:space="preserve">Sessions de formation à l'intention des OSC et des groupes de défense des droits des femmes sur les approches permettant de s'engager efficacement dans le processus de contrôle</w:t>
      </w: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Animer un atelier à l'intention des OSC et des GDF pour élaborer des outils et un processus clair (liste de contrôle) dans le cadre de leur engagement dans le processus de contrôle ;</w:t>
      </w:r>
    </w:p>
    <w:p w:rsidR="00000000" w:rsidDel="00000000" w:rsidP="00000000" w:rsidRDefault="00000000" w:rsidRPr="00000000" w14:paraId="0000002B">
      <w:pPr>
        <w:spacing w:after="0" w:lineRule="auto"/>
        <w:ind w:left="720" w:firstLine="0"/>
        <w:rPr/>
      </w:pPr>
      <w:r w:rsidDel="00000000" w:rsidR="00000000" w:rsidRPr="00000000">
        <w:rPr>
          <w:rtl w:val="0"/>
        </w:rPr>
      </w:r>
    </w:p>
    <w:p w:rsidR="00000000" w:rsidDel="00000000" w:rsidP="00000000" w:rsidRDefault="00000000" w:rsidRPr="00000000" w14:paraId="0000002C">
      <w:pPr>
        <w:numPr>
          <w:ilvl w:val="0"/>
          <w:numId w:val="1"/>
        </w:numPr>
        <w:spacing w:after="0" w:lineRule="auto"/>
        <w:ind w:left="720" w:hanging="360"/>
        <w:rPr>
          <w:rFonts w:ascii="Calibri" w:cs="Calibri" w:eastAsia="Calibri" w:hAnsi="Calibri"/>
        </w:rPr>
      </w:pPr>
      <w:r w:rsidDel="00000000" w:rsidR="00000000" w:rsidRPr="00000000">
        <w:rPr>
          <w:color w:val="444746"/>
          <w:rtl w:val="0"/>
        </w:rPr>
        <w:t xml:space="preserve">Élaborer des outils et un processus clair (liste de contrôle) à l'intention des OSC et des GDF dans le cadre de leur engagement dans le processus de contrôle.</w:t>
      </w:r>
      <w:r w:rsidDel="00000000" w:rsidR="00000000" w:rsidRPr="00000000">
        <w:rPr>
          <w:rtl w:val="0"/>
        </w:rPr>
      </w:r>
    </w:p>
    <w:p w:rsidR="00000000" w:rsidDel="00000000" w:rsidP="00000000" w:rsidRDefault="00000000" w:rsidRPr="00000000" w14:paraId="0000002D">
      <w:pPr>
        <w:spacing w:after="0" w:lineRule="auto"/>
        <w:ind w:left="720" w:firstLine="0"/>
        <w:rPr>
          <w:sz w:val="10"/>
          <w:szCs w:val="10"/>
        </w:rPr>
      </w:pPr>
      <w:r w:rsidDel="00000000" w:rsidR="00000000" w:rsidRPr="00000000">
        <w:rPr>
          <w:rtl w:val="0"/>
        </w:rPr>
      </w:r>
    </w:p>
    <w:p w:rsidR="00000000" w:rsidDel="00000000" w:rsidP="00000000" w:rsidRDefault="00000000" w:rsidRPr="00000000" w14:paraId="0000002E">
      <w:pPr>
        <w:numPr>
          <w:ilvl w:val="0"/>
          <w:numId w:val="1"/>
        </w:numPr>
        <w:spacing w:after="0" w:lineRule="auto"/>
        <w:ind w:left="720" w:hanging="360"/>
        <w:rPr>
          <w:rFonts w:ascii="Calibri" w:cs="Calibri" w:eastAsia="Calibri" w:hAnsi="Calibri"/>
        </w:rPr>
      </w:pPr>
      <w:r w:rsidDel="00000000" w:rsidR="00000000" w:rsidRPr="00000000">
        <w:rPr>
          <w:rtl w:val="0"/>
        </w:rPr>
        <w:t xml:space="preserve">Animer un deuxième atelier </w:t>
      </w:r>
      <w:r w:rsidDel="00000000" w:rsidR="00000000" w:rsidRPr="00000000">
        <w:rPr>
          <w:highlight w:val="white"/>
          <w:rtl w:val="0"/>
        </w:rPr>
        <w:t xml:space="preserve">de formation pour les OSC et les GDF sur les approches d'un engagement efficace dans le processus d'élaboration des p</w:t>
      </w:r>
      <w:r w:rsidDel="00000000" w:rsidR="00000000" w:rsidRPr="00000000">
        <w:rPr>
          <w:rtl w:val="0"/>
        </w:rPr>
        <w:t xml:space="preserve">olitiques.</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240" w:line="276" w:lineRule="auto"/>
        <w:jc w:val="both"/>
        <w:rPr>
          <w:b w:val="1"/>
          <w:color w:val="202124"/>
          <w:u w:val="single"/>
        </w:rPr>
      </w:pPr>
      <w:r w:rsidDel="00000000" w:rsidR="00000000" w:rsidRPr="00000000">
        <w:rPr>
          <w:b w:val="1"/>
          <w:color w:val="202124"/>
          <w:u w:val="single"/>
          <w:rtl w:val="0"/>
        </w:rPr>
        <w:t xml:space="preserve">5. Livrables Attendus</w:t>
      </w:r>
    </w:p>
    <w:p w:rsidR="00000000" w:rsidDel="00000000" w:rsidP="00000000" w:rsidRDefault="00000000" w:rsidRPr="00000000" w14:paraId="00000031">
      <w:pPr>
        <w:numPr>
          <w:ilvl w:val="0"/>
          <w:numId w:val="3"/>
        </w:numPr>
        <w:spacing w:after="120" w:before="120" w:lineRule="auto"/>
        <w:ind w:left="720" w:hanging="360"/>
        <w:jc w:val="both"/>
        <w:rPr/>
      </w:pPr>
      <w:r w:rsidDel="00000000" w:rsidR="00000000" w:rsidRPr="00000000">
        <w:rPr>
          <w:rtl w:val="0"/>
        </w:rPr>
        <w:t xml:space="preserve">les matériels de formation (powerpoint et exercices et autres) </w:t>
      </w:r>
    </w:p>
    <w:p w:rsidR="00000000" w:rsidDel="00000000" w:rsidP="00000000" w:rsidRDefault="00000000" w:rsidRPr="00000000" w14:paraId="00000032">
      <w:pPr>
        <w:numPr>
          <w:ilvl w:val="0"/>
          <w:numId w:val="3"/>
        </w:numPr>
        <w:spacing w:after="120" w:before="120" w:lineRule="auto"/>
        <w:ind w:left="720" w:hanging="360"/>
        <w:jc w:val="both"/>
        <w:rPr>
          <w:u w:val="none"/>
        </w:rPr>
      </w:pPr>
      <w:r w:rsidDel="00000000" w:rsidR="00000000" w:rsidRPr="00000000">
        <w:rPr>
          <w:rtl w:val="0"/>
        </w:rPr>
        <w:t xml:space="preserve">les modules de formations (supports Word) pour les OSC et les GFD </w:t>
      </w:r>
    </w:p>
    <w:p w:rsidR="00000000" w:rsidDel="00000000" w:rsidP="00000000" w:rsidRDefault="00000000" w:rsidRPr="00000000" w14:paraId="00000033">
      <w:pPr>
        <w:numPr>
          <w:ilvl w:val="0"/>
          <w:numId w:val="3"/>
        </w:numPr>
        <w:spacing w:after="120" w:before="120" w:lineRule="auto"/>
        <w:ind w:left="720" w:hanging="360"/>
        <w:jc w:val="both"/>
        <w:rPr/>
      </w:pPr>
      <w:r w:rsidDel="00000000" w:rsidR="00000000" w:rsidRPr="00000000">
        <w:rPr>
          <w:rtl w:val="0"/>
        </w:rPr>
        <w:t xml:space="preserve">Des outils et un processus clair (liste de contrôle) élaborés pour permettre aux OSC et aux GFD de s'engager dans le processus de contrôle</w:t>
      </w:r>
    </w:p>
    <w:p w:rsidR="00000000" w:rsidDel="00000000" w:rsidP="00000000" w:rsidRDefault="00000000" w:rsidRPr="00000000" w14:paraId="00000034">
      <w:pPr>
        <w:numPr>
          <w:ilvl w:val="0"/>
          <w:numId w:val="3"/>
        </w:numPr>
        <w:spacing w:after="120" w:before="120" w:lineRule="auto"/>
        <w:ind w:left="720" w:hanging="360"/>
        <w:jc w:val="both"/>
        <w:rPr>
          <w:u w:val="none"/>
        </w:rPr>
      </w:pPr>
      <w:r w:rsidDel="00000000" w:rsidR="00000000" w:rsidRPr="00000000">
        <w:rPr>
          <w:rtl w:val="0"/>
        </w:rPr>
        <w:t xml:space="preserve">Des outils élaborés pour aider les OSC et les GDF à s'engager efficacement dans le processus législatif</w:t>
      </w:r>
    </w:p>
    <w:p w:rsidR="00000000" w:rsidDel="00000000" w:rsidP="00000000" w:rsidRDefault="00000000" w:rsidRPr="00000000" w14:paraId="00000035">
      <w:pPr>
        <w:numPr>
          <w:ilvl w:val="0"/>
          <w:numId w:val="3"/>
        </w:numPr>
        <w:spacing w:after="120" w:before="120" w:lineRule="auto"/>
        <w:ind w:left="720" w:hanging="360"/>
        <w:jc w:val="both"/>
        <w:rPr/>
      </w:pPr>
      <w:r w:rsidDel="00000000" w:rsidR="00000000" w:rsidRPr="00000000">
        <w:rPr>
          <w:rtl w:val="0"/>
        </w:rPr>
        <w:t xml:space="preserve">Le consultant national travaillera de concert avec l'équipe du projet pour rédiger un rapport sur la session de formation. Une première version sera élaborée pour être soumise à l'examen de l'équipe du projet, ensuite le rapport final sera préparé en prenant en considération les retours et les contributions reçus.</w:t>
      </w:r>
    </w:p>
    <w:p w:rsidR="00000000" w:rsidDel="00000000" w:rsidP="00000000" w:rsidRDefault="00000000" w:rsidRPr="00000000" w14:paraId="00000036">
      <w:pPr>
        <w:numPr>
          <w:ilvl w:val="0"/>
          <w:numId w:val="3"/>
        </w:numPr>
        <w:spacing w:after="120" w:before="120" w:lineRule="auto"/>
        <w:ind w:left="720" w:hanging="360"/>
        <w:jc w:val="both"/>
        <w:rPr/>
      </w:pPr>
      <w:r w:rsidDel="00000000" w:rsidR="00000000" w:rsidRPr="00000000">
        <w:rPr>
          <w:rtl w:val="0"/>
        </w:rPr>
        <w:t xml:space="preserve">Les rapports finaux devront être transmis au plus tard deux semaines après la réalisation de l’activité. Le consultant national en collaboration avec l'équipe du projet produira un rapport sur la session de formation. Une première version sera produite pour examen par l'équipe du projet. Le rapport sera finalisé en fonction des réactions et des contributions reçues. </w:t>
      </w:r>
    </w:p>
    <w:p w:rsidR="00000000" w:rsidDel="00000000" w:rsidP="00000000" w:rsidRDefault="00000000" w:rsidRPr="00000000" w14:paraId="00000037">
      <w:pPr>
        <w:numPr>
          <w:ilvl w:val="0"/>
          <w:numId w:val="3"/>
        </w:numPr>
        <w:spacing w:line="240" w:lineRule="auto"/>
        <w:ind w:left="720" w:hanging="360"/>
        <w:rPr>
          <w:color w:val="202124"/>
        </w:rPr>
      </w:pPr>
      <w:r w:rsidDel="00000000" w:rsidR="00000000" w:rsidRPr="00000000">
        <w:rPr>
          <w:color w:val="202124"/>
          <w:rtl w:val="0"/>
        </w:rPr>
        <w:t xml:space="preserve">Les rapports finaux devront être réceptionnés au plus tard deux semaines après l’animation des formations. </w:t>
      </w:r>
    </w:p>
    <w:p w:rsidR="00000000" w:rsidDel="00000000" w:rsidP="00000000" w:rsidRDefault="00000000" w:rsidRPr="00000000" w14:paraId="00000038">
      <w:pPr>
        <w:spacing w:after="0" w:line="360" w:lineRule="auto"/>
        <w:jc w:val="both"/>
        <w:rPr>
          <w:b w:val="1"/>
          <w:u w:val="single"/>
        </w:rPr>
      </w:pPr>
      <w:r w:rsidDel="00000000" w:rsidR="00000000" w:rsidRPr="00000000">
        <w:rPr>
          <w:b w:val="1"/>
          <w:u w:val="single"/>
          <w:rtl w:val="0"/>
        </w:rPr>
        <w:t xml:space="preserve">6. Qualifications et expériences requises</w:t>
      </w:r>
    </w:p>
    <w:p w:rsidR="00000000" w:rsidDel="00000000" w:rsidP="00000000" w:rsidRDefault="00000000" w:rsidRPr="00000000" w14:paraId="00000039">
      <w:pPr>
        <w:spacing w:after="0" w:line="240" w:lineRule="auto"/>
        <w:jc w:val="both"/>
        <w:rPr>
          <w:b w:val="1"/>
        </w:rPr>
      </w:pPr>
      <w:r w:rsidDel="00000000" w:rsidR="00000000" w:rsidRPr="00000000">
        <w:rPr>
          <w:b w:val="1"/>
          <w:rtl w:val="0"/>
        </w:rPr>
        <w:t xml:space="preserve">V-1.  Profil :</w:t>
      </w:r>
    </w:p>
    <w:p w:rsidR="00000000" w:rsidDel="00000000" w:rsidP="00000000" w:rsidRDefault="00000000" w:rsidRPr="00000000" w14:paraId="0000003A">
      <w:pPr>
        <w:numPr>
          <w:ilvl w:val="0"/>
          <w:numId w:val="2"/>
        </w:numPr>
        <w:spacing w:after="0" w:line="276" w:lineRule="auto"/>
        <w:ind w:left="720" w:hanging="360"/>
        <w:jc w:val="both"/>
        <w:rPr/>
      </w:pPr>
      <w:r w:rsidDel="00000000" w:rsidR="00000000" w:rsidRPr="00000000">
        <w:rPr>
          <w:rtl w:val="0"/>
        </w:rPr>
        <w:t xml:space="preserve">Être titulaire d'un diplôme universitaire BAC + 5 (maîtrise, DESS, DEA) ou d'un doctorat en sciences sociales, droit, affaires publiques, politique ou domaines connexes ;</w:t>
      </w:r>
    </w:p>
    <w:p w:rsidR="00000000" w:rsidDel="00000000" w:rsidP="00000000" w:rsidRDefault="00000000" w:rsidRPr="00000000" w14:paraId="0000003B">
      <w:pPr>
        <w:numPr>
          <w:ilvl w:val="0"/>
          <w:numId w:val="2"/>
        </w:numPr>
        <w:spacing w:after="0" w:line="276" w:lineRule="auto"/>
        <w:ind w:left="720" w:hanging="360"/>
        <w:jc w:val="both"/>
        <w:rPr/>
      </w:pPr>
      <w:r w:rsidDel="00000000" w:rsidR="00000000" w:rsidRPr="00000000">
        <w:rPr>
          <w:rtl w:val="0"/>
        </w:rPr>
        <w:t xml:space="preserve">Au moins cinq (05) ans d'expérience dans le domaine des relations entre société civile et parlement ;</w:t>
      </w:r>
    </w:p>
    <w:p w:rsidR="00000000" w:rsidDel="00000000" w:rsidP="00000000" w:rsidRDefault="00000000" w:rsidRPr="00000000" w14:paraId="0000003C">
      <w:pPr>
        <w:numPr>
          <w:ilvl w:val="0"/>
          <w:numId w:val="2"/>
        </w:numPr>
        <w:spacing w:after="0" w:line="276" w:lineRule="auto"/>
        <w:ind w:left="720" w:hanging="360"/>
        <w:jc w:val="both"/>
        <w:rPr/>
      </w:pPr>
      <w:r w:rsidDel="00000000" w:rsidR="00000000" w:rsidRPr="00000000">
        <w:rPr>
          <w:rtl w:val="0"/>
        </w:rPr>
        <w:t xml:space="preserve">Forte capacité en animation d’ateliers ;</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color w:val="000000"/>
          <w:rtl w:val="0"/>
        </w:rPr>
        <w:t xml:space="preserve">Démontrer une solide connaissance des questions de genre et d'inclusion au Togo ;</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color w:val="000000"/>
          <w:rtl w:val="0"/>
        </w:rPr>
        <w:t xml:space="preserve">Avoir des compétences analytiques et une bonne capacité de dialogue ;</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color w:val="000000"/>
          <w:rtl w:val="0"/>
        </w:rPr>
        <w:t xml:space="preserve">Démontrer une forte capacité de gestion d'équipe, d'animation d'atelier, de coordination du travail en atelier et de travail dans un contexte multipartite et multiculturel ;</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color w:val="000000"/>
          <w:rtl w:val="0"/>
        </w:rPr>
        <w:t xml:space="preserve">Avoir des compétences avérées en matière de communication (orale et écrite) ;</w:t>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color w:val="000000"/>
          <w:rtl w:val="0"/>
        </w:rPr>
        <w:t xml:space="preserve">Avoir une parfaite maîtrise de la langue française ;</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tabs>
          <w:tab w:val="left" w:leader="none" w:pos="-2268"/>
          <w:tab w:val="left" w:leader="none" w:pos="851"/>
        </w:tabs>
        <w:spacing w:after="0" w:line="276" w:lineRule="auto"/>
        <w:ind w:left="720" w:hanging="360"/>
        <w:jc w:val="both"/>
        <w:rPr>
          <w:color w:val="000000"/>
        </w:rPr>
      </w:pPr>
      <w:r w:rsidDel="00000000" w:rsidR="00000000" w:rsidRPr="00000000">
        <w:rPr>
          <w:rtl w:val="0"/>
        </w:rPr>
        <w:t xml:space="preserve">Faire preuve d'une réelle proactivité et de disponibilité, et être suffisamment flexible pour s’adapter aux besoins de la mission, </w:t>
      </w:r>
      <w:r w:rsidDel="00000000" w:rsidR="00000000" w:rsidRPr="00000000">
        <w:rPr>
          <w:color w:val="000000"/>
          <w:rtl w:val="0"/>
        </w:rPr>
        <w:t xml:space="preserve">proactif, disponible et flexible pour vous adapter à la période de la mission.</w:t>
      </w:r>
    </w:p>
    <w:p w:rsidR="00000000" w:rsidDel="00000000" w:rsidP="00000000" w:rsidRDefault="00000000" w:rsidRPr="00000000" w14:paraId="00000043">
      <w:pPr>
        <w:numPr>
          <w:ilvl w:val="0"/>
          <w:numId w:val="2"/>
        </w:numPr>
        <w:tabs>
          <w:tab w:val="left" w:leader="none" w:pos="-2268"/>
          <w:tab w:val="left" w:leader="none" w:pos="851"/>
        </w:tabs>
        <w:spacing w:after="0" w:line="276" w:lineRule="auto"/>
        <w:ind w:left="720" w:hanging="360"/>
        <w:jc w:val="both"/>
        <w:rPr/>
      </w:pPr>
      <w:r w:rsidDel="00000000" w:rsidR="00000000" w:rsidRPr="00000000">
        <w:rPr>
          <w:rtl w:val="0"/>
        </w:rPr>
        <w:t xml:space="preserve">Être capable de fournir quelques références des organisations avec lesquelles le consultant a mené des études ou des activités similaires ; des activités d'étude. </w:t>
      </w:r>
    </w:p>
    <w:p w:rsidR="00000000" w:rsidDel="00000000" w:rsidP="00000000" w:rsidRDefault="00000000" w:rsidRPr="00000000" w14:paraId="00000044">
      <w:pPr>
        <w:numPr>
          <w:ilvl w:val="0"/>
          <w:numId w:val="2"/>
        </w:numPr>
        <w:tabs>
          <w:tab w:val="left" w:leader="none" w:pos="-2268"/>
          <w:tab w:val="left" w:leader="none" w:pos="851"/>
        </w:tabs>
        <w:spacing w:after="60" w:line="276" w:lineRule="auto"/>
        <w:ind w:left="720" w:hanging="360"/>
        <w:jc w:val="both"/>
        <w:rPr/>
      </w:pPr>
      <w:r w:rsidDel="00000000" w:rsidR="00000000" w:rsidRPr="00000000">
        <w:rPr>
          <w:rtl w:val="0"/>
        </w:rPr>
        <w:t xml:space="preserve">Une expérience de travail avec l'Assemblée nationale du Togo serait un atout.</w:t>
      </w:r>
    </w:p>
    <w:p w:rsidR="00000000" w:rsidDel="00000000" w:rsidP="00000000" w:rsidRDefault="00000000" w:rsidRPr="00000000" w14:paraId="00000045">
      <w:pPr>
        <w:tabs>
          <w:tab w:val="left" w:leader="none" w:pos="-2268"/>
          <w:tab w:val="left" w:leader="none" w:pos="851"/>
        </w:tabs>
        <w:spacing w:after="60" w:line="240" w:lineRule="auto"/>
        <w:ind w:left="720" w:firstLine="0"/>
        <w:jc w:val="both"/>
        <w:rPr/>
      </w:pPr>
      <w:r w:rsidDel="00000000" w:rsidR="00000000" w:rsidRPr="00000000">
        <w:rPr>
          <w:rtl w:val="0"/>
        </w:rPr>
      </w:r>
    </w:p>
    <w:p w:rsidR="00000000" w:rsidDel="00000000" w:rsidP="00000000" w:rsidRDefault="00000000" w:rsidRPr="00000000" w14:paraId="00000046">
      <w:pPr>
        <w:spacing w:after="0" w:line="240" w:lineRule="auto"/>
        <w:jc w:val="both"/>
        <w:rPr/>
      </w:pPr>
      <w:r w:rsidDel="00000000" w:rsidR="00000000" w:rsidRPr="00000000">
        <w:rPr>
          <w:b w:val="1"/>
          <w:rtl w:val="0"/>
        </w:rPr>
        <w:t xml:space="preserve">V-2.  Compétences :</w:t>
      </w:r>
      <w:r w:rsidDel="00000000" w:rsidR="00000000" w:rsidRPr="00000000">
        <w:rPr>
          <w:rtl w:val="0"/>
        </w:rPr>
      </w:r>
    </w:p>
    <w:p w:rsidR="00000000" w:rsidDel="00000000" w:rsidP="00000000" w:rsidRDefault="00000000" w:rsidRPr="00000000" w14:paraId="00000047">
      <w:pPr>
        <w:numPr>
          <w:ilvl w:val="0"/>
          <w:numId w:val="5"/>
        </w:numPr>
        <w:spacing w:after="0" w:line="276" w:lineRule="auto"/>
        <w:ind w:left="720" w:hanging="360"/>
        <w:jc w:val="both"/>
        <w:rPr/>
      </w:pPr>
      <w:r w:rsidDel="00000000" w:rsidR="00000000" w:rsidRPr="00000000">
        <w:rPr>
          <w:rtl w:val="0"/>
        </w:rPr>
        <w:t xml:space="preserve">Posséder d'excellentes compétences en rédaction et en communication.</w:t>
      </w:r>
    </w:p>
    <w:p w:rsidR="00000000" w:rsidDel="00000000" w:rsidP="00000000" w:rsidRDefault="00000000" w:rsidRPr="00000000" w14:paraId="00000048">
      <w:pPr>
        <w:numPr>
          <w:ilvl w:val="0"/>
          <w:numId w:val="5"/>
        </w:numPr>
        <w:spacing w:after="0" w:line="276" w:lineRule="auto"/>
        <w:ind w:left="720" w:hanging="360"/>
        <w:jc w:val="both"/>
        <w:rPr/>
      </w:pPr>
      <w:r w:rsidDel="00000000" w:rsidR="00000000" w:rsidRPr="00000000">
        <w:rPr>
          <w:rtl w:val="0"/>
        </w:rPr>
        <w:t xml:space="preserve">Détenir une capacité d'analyse et de synthèse avérée.</w:t>
      </w:r>
    </w:p>
    <w:p w:rsidR="00000000" w:rsidDel="00000000" w:rsidP="00000000" w:rsidRDefault="00000000" w:rsidRPr="00000000" w14:paraId="00000049">
      <w:pPr>
        <w:numPr>
          <w:ilvl w:val="0"/>
          <w:numId w:val="5"/>
        </w:numPr>
        <w:spacing w:after="0" w:line="276" w:lineRule="auto"/>
        <w:ind w:left="720" w:hanging="360"/>
        <w:jc w:val="both"/>
        <w:rPr/>
      </w:pPr>
      <w:r w:rsidDel="00000000" w:rsidR="00000000" w:rsidRPr="00000000">
        <w:rPr>
          <w:rtl w:val="0"/>
        </w:rPr>
        <w:t xml:space="preserve">Faire preuve de fiabilité dans la tenue des engagements.</w:t>
      </w:r>
    </w:p>
    <w:p w:rsidR="00000000" w:rsidDel="00000000" w:rsidP="00000000" w:rsidRDefault="00000000" w:rsidRPr="00000000" w14:paraId="0000004A">
      <w:pPr>
        <w:numPr>
          <w:ilvl w:val="0"/>
          <w:numId w:val="5"/>
        </w:numPr>
        <w:spacing w:after="0" w:line="276" w:lineRule="auto"/>
        <w:ind w:left="720" w:hanging="360"/>
        <w:jc w:val="both"/>
        <w:rPr/>
      </w:pPr>
      <w:r w:rsidDel="00000000" w:rsidR="00000000" w:rsidRPr="00000000">
        <w:rPr>
          <w:rtl w:val="0"/>
        </w:rPr>
        <w:t xml:space="preserve">Avoir la capacité d'innover.</w:t>
      </w:r>
    </w:p>
    <w:p w:rsidR="00000000" w:rsidDel="00000000" w:rsidP="00000000" w:rsidRDefault="00000000" w:rsidRPr="00000000" w14:paraId="0000004B">
      <w:pPr>
        <w:numPr>
          <w:ilvl w:val="0"/>
          <w:numId w:val="5"/>
        </w:numPr>
        <w:spacing w:after="0" w:line="276" w:lineRule="auto"/>
        <w:ind w:left="720" w:hanging="360"/>
        <w:jc w:val="both"/>
        <w:rPr/>
      </w:pPr>
      <w:r w:rsidDel="00000000" w:rsidR="00000000" w:rsidRPr="00000000">
        <w:rPr>
          <w:rtl w:val="0"/>
        </w:rPr>
        <w:t xml:space="preserve">Être un membre collaboratif au sein de l'équipe.</w:t>
      </w:r>
    </w:p>
    <w:p w:rsidR="00000000" w:rsidDel="00000000" w:rsidP="00000000" w:rsidRDefault="00000000" w:rsidRPr="00000000" w14:paraId="0000004C">
      <w:pPr>
        <w:numPr>
          <w:ilvl w:val="0"/>
          <w:numId w:val="5"/>
        </w:numPr>
        <w:spacing w:after="0" w:line="276" w:lineRule="auto"/>
        <w:ind w:left="720" w:hanging="360"/>
        <w:jc w:val="both"/>
        <w:rPr/>
      </w:pPr>
      <w:r w:rsidDel="00000000" w:rsidR="00000000" w:rsidRPr="00000000">
        <w:rPr>
          <w:rtl w:val="0"/>
        </w:rPr>
        <w:t xml:space="preserve">Faire preuve d'un sens des responsabilités prononcé.</w:t>
      </w:r>
    </w:p>
    <w:p w:rsidR="00000000" w:rsidDel="00000000" w:rsidP="00000000" w:rsidRDefault="00000000" w:rsidRPr="00000000" w14:paraId="0000004D">
      <w:pPr>
        <w:numPr>
          <w:ilvl w:val="0"/>
          <w:numId w:val="5"/>
        </w:numPr>
        <w:spacing w:after="0" w:line="276" w:lineRule="auto"/>
        <w:ind w:left="720" w:hanging="360"/>
        <w:jc w:val="both"/>
        <w:rPr/>
      </w:pPr>
      <w:r w:rsidDel="00000000" w:rsidR="00000000" w:rsidRPr="00000000">
        <w:rPr>
          <w:rtl w:val="0"/>
        </w:rPr>
        <w:t xml:space="preserve">Assumer l'intégralité des responsabilités et respecter les engagements pris.</w:t>
      </w:r>
    </w:p>
    <w:p w:rsidR="00000000" w:rsidDel="00000000" w:rsidP="00000000" w:rsidRDefault="00000000" w:rsidRPr="00000000" w14:paraId="0000004E">
      <w:pPr>
        <w:numPr>
          <w:ilvl w:val="0"/>
          <w:numId w:val="5"/>
        </w:numPr>
        <w:spacing w:after="0" w:line="276" w:lineRule="auto"/>
        <w:ind w:left="720" w:hanging="360"/>
        <w:jc w:val="both"/>
        <w:rPr/>
      </w:pPr>
      <w:r w:rsidDel="00000000" w:rsidR="00000000" w:rsidRPr="00000000">
        <w:rPr>
          <w:rtl w:val="0"/>
        </w:rPr>
        <w:t xml:space="preserve">Suivre les normes techniques professionnelles et maintenir un niveau élevé de qualité.</w:t>
      </w:r>
    </w:p>
    <w:p w:rsidR="00000000" w:rsidDel="00000000" w:rsidP="00000000" w:rsidRDefault="00000000" w:rsidRPr="00000000" w14:paraId="0000004F">
      <w:pPr>
        <w:numPr>
          <w:ilvl w:val="0"/>
          <w:numId w:val="5"/>
        </w:numPr>
        <w:spacing w:after="0" w:line="276" w:lineRule="auto"/>
        <w:ind w:left="720" w:hanging="360"/>
        <w:jc w:val="both"/>
        <w:rPr/>
      </w:pPr>
      <w:r w:rsidDel="00000000" w:rsidR="00000000" w:rsidRPr="00000000">
        <w:rPr>
          <w:rtl w:val="0"/>
        </w:rPr>
        <w:t xml:space="preserve">Être immédiatement disponible.</w:t>
      </w:r>
    </w:p>
    <w:p w:rsidR="00000000" w:rsidDel="00000000" w:rsidP="00000000" w:rsidRDefault="00000000" w:rsidRPr="00000000" w14:paraId="00000050">
      <w:pPr>
        <w:spacing w:after="0" w:line="240" w:lineRule="auto"/>
        <w:ind w:left="644" w:firstLine="0"/>
        <w:jc w:val="both"/>
        <w:rPr/>
      </w:pPr>
      <w:r w:rsidDel="00000000" w:rsidR="00000000" w:rsidRPr="00000000">
        <w:rPr>
          <w:rtl w:val="0"/>
        </w:rPr>
      </w:r>
    </w:p>
    <w:p w:rsidR="00000000" w:rsidDel="00000000" w:rsidP="00000000" w:rsidRDefault="00000000" w:rsidRPr="00000000" w14:paraId="00000051">
      <w:pPr>
        <w:spacing w:after="0" w:line="240" w:lineRule="auto"/>
        <w:jc w:val="both"/>
        <w:rPr>
          <w:b w:val="1"/>
        </w:rPr>
      </w:pPr>
      <w:r w:rsidDel="00000000" w:rsidR="00000000" w:rsidRPr="00000000">
        <w:rPr>
          <w:b w:val="1"/>
          <w:rtl w:val="0"/>
        </w:rPr>
        <w:t xml:space="preserve">VI- Dossier de candidature</w:t>
      </w:r>
    </w:p>
    <w:p w:rsidR="00000000" w:rsidDel="00000000" w:rsidP="00000000" w:rsidRDefault="00000000" w:rsidRPr="00000000" w14:paraId="00000052">
      <w:pPr>
        <w:tabs>
          <w:tab w:val="left" w:leader="none" w:pos="426"/>
          <w:tab w:val="left" w:leader="none" w:pos="1134"/>
        </w:tabs>
        <w:spacing w:after="0" w:line="240" w:lineRule="auto"/>
        <w:jc w:val="both"/>
        <w:rPr/>
      </w:pPr>
      <w:r w:rsidDel="00000000" w:rsidR="00000000" w:rsidRPr="00000000">
        <w:rPr>
          <w:rtl w:val="0"/>
        </w:rPr>
        <w:t xml:space="preserve">Les dossiers de candidatures doivent inclure les documents suivants : </w:t>
      </w:r>
    </w:p>
    <w:p w:rsidR="00000000" w:rsidDel="00000000" w:rsidP="00000000" w:rsidRDefault="00000000" w:rsidRPr="00000000" w14:paraId="00000053">
      <w:pPr>
        <w:tabs>
          <w:tab w:val="left" w:leader="none" w:pos="426"/>
          <w:tab w:val="left" w:leader="none" w:pos="1134"/>
        </w:tabs>
        <w:spacing w:after="0" w:line="240" w:lineRule="auto"/>
        <w:jc w:val="both"/>
        <w:rPr/>
      </w:pPr>
      <w:r w:rsidDel="00000000" w:rsidR="00000000" w:rsidRPr="00000000">
        <w:rPr>
          <w:rtl w:val="0"/>
        </w:rPr>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color w:val="000000"/>
        </w:rPr>
      </w:pPr>
      <w:r w:rsidDel="00000000" w:rsidR="00000000" w:rsidRPr="00000000">
        <w:rPr>
          <w:rtl w:val="0"/>
        </w:rPr>
        <w:t xml:space="preserve">Une </w:t>
      </w:r>
      <w:r w:rsidDel="00000000" w:rsidR="00000000" w:rsidRPr="00000000">
        <w:rPr>
          <w:color w:val="000000"/>
          <w:rtl w:val="0"/>
        </w:rPr>
        <w:t xml:space="preserve">lettre de </w:t>
      </w:r>
      <w:r w:rsidDel="00000000" w:rsidR="00000000" w:rsidRPr="00000000">
        <w:rPr>
          <w:rtl w:val="0"/>
        </w:rPr>
        <w:t xml:space="preserve">candidature</w:t>
      </w:r>
      <w:r w:rsidDel="00000000" w:rsidR="00000000" w:rsidRPr="00000000">
        <w:rPr>
          <w:color w:val="000000"/>
          <w:rtl w:val="0"/>
        </w:rPr>
        <w:t xml:space="preserve"> adressée au directeur du Centre Africain pour les Affaires Parlementaires (ACEPA) ;</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pacing w:after="0" w:line="276" w:lineRule="auto"/>
        <w:ind w:left="720" w:hanging="360"/>
        <w:jc w:val="both"/>
        <w:rPr>
          <w:color w:val="000000"/>
        </w:rPr>
      </w:pPr>
      <w:r w:rsidDel="00000000" w:rsidR="00000000" w:rsidRPr="00000000">
        <w:rPr>
          <w:color w:val="000000"/>
          <w:rtl w:val="0"/>
        </w:rPr>
        <w:t xml:space="preserve">Une copie actualisée du curriculum vitae (CV) ;</w:t>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tabs>
          <w:tab w:val="left" w:leader="none" w:pos="426"/>
          <w:tab w:val="left" w:leader="none" w:pos="1134"/>
        </w:tabs>
        <w:spacing w:after="0" w:line="276" w:lineRule="auto"/>
        <w:ind w:left="720" w:hanging="360"/>
        <w:jc w:val="both"/>
        <w:rPr>
          <w:color w:val="000000"/>
        </w:rPr>
      </w:pPr>
      <w:r w:rsidDel="00000000" w:rsidR="00000000" w:rsidRPr="00000000">
        <w:rPr>
          <w:color w:val="000000"/>
          <w:rtl w:val="0"/>
        </w:rPr>
        <w:t xml:space="preserve">Une offre technique mettant en exergue la compréhension des termes de référence et de la méthodologie de conduite de la mission ; </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tabs>
          <w:tab w:val="left" w:leader="none" w:pos="426"/>
          <w:tab w:val="left" w:leader="none" w:pos="1134"/>
        </w:tabs>
        <w:spacing w:after="0" w:line="276" w:lineRule="auto"/>
        <w:ind w:left="720" w:hanging="360"/>
        <w:jc w:val="both"/>
        <w:rPr>
          <w:color w:val="000000"/>
        </w:rPr>
      </w:pPr>
      <w:r w:rsidDel="00000000" w:rsidR="00000000" w:rsidRPr="00000000">
        <w:rPr>
          <w:color w:val="000000"/>
          <w:rtl w:val="0"/>
        </w:rPr>
        <w:t xml:space="preserve">Une offre financière ;</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tabs>
          <w:tab w:val="left" w:leader="none" w:pos="426"/>
          <w:tab w:val="left" w:leader="none" w:pos="1134"/>
        </w:tabs>
        <w:spacing w:line="276" w:lineRule="auto"/>
        <w:ind w:left="720" w:hanging="360"/>
        <w:jc w:val="both"/>
        <w:rPr>
          <w:color w:val="000000"/>
        </w:rPr>
      </w:pPr>
      <w:r w:rsidDel="00000000" w:rsidR="00000000" w:rsidRPr="00000000">
        <w:rPr>
          <w:color w:val="000000"/>
          <w:rtl w:val="0"/>
        </w:rPr>
        <w:t xml:space="preserve">Certificats de réussite de missions similaires.</w:t>
      </w:r>
    </w:p>
    <w:p w:rsidR="00000000" w:rsidDel="00000000" w:rsidP="00000000" w:rsidRDefault="00000000" w:rsidRPr="00000000" w14:paraId="00000059">
      <w:pPr>
        <w:tabs>
          <w:tab w:val="left" w:leader="none" w:pos="426"/>
          <w:tab w:val="left" w:leader="none" w:pos="1134"/>
        </w:tabs>
        <w:spacing w:line="240" w:lineRule="auto"/>
        <w:rPr/>
      </w:pPr>
      <w:r w:rsidDel="00000000" w:rsidR="00000000" w:rsidRPr="00000000">
        <w:rPr>
          <w:rtl w:val="0"/>
        </w:rPr>
        <w:t xml:space="preserve">L’offre doit être envoyée par courriel avec la mention </w:t>
      </w:r>
      <w:r w:rsidDel="00000000" w:rsidR="00000000" w:rsidRPr="00000000">
        <w:rPr>
          <w:b w:val="1"/>
          <w:rtl w:val="0"/>
        </w:rPr>
        <w:t xml:space="preserve">"Candidature au poste de consultant(e) national en facilitation d’atelier avec les parties prenantes du projet LIPSG"</w:t>
      </w:r>
      <w:r w:rsidDel="00000000" w:rsidR="00000000" w:rsidRPr="00000000">
        <w:rPr>
          <w:rtl w:val="0"/>
        </w:rPr>
        <w:t xml:space="preserve">. Le dossier de candidature doit être envoyé au plus tard le 22 février 2024 à 17h00 GMT à l'adresse suivante  : </w:t>
      </w:r>
      <w:hyperlink r:id="rId10">
        <w:r w:rsidDel="00000000" w:rsidR="00000000" w:rsidRPr="00000000">
          <w:rPr>
            <w:color w:val="0000ff"/>
            <w:u w:val="single"/>
            <w:rtl w:val="0"/>
          </w:rPr>
          <w:t xml:space="preserve">komitse.amouzouvi@acepa-africa.org</w:t>
        </w:r>
      </w:hyperlink>
      <w:r w:rsidDel="00000000" w:rsidR="00000000" w:rsidRPr="00000000">
        <w:rPr>
          <w:rtl w:val="0"/>
        </w:rPr>
        <w:t xml:space="preserve"> avec copie à  </w:t>
      </w:r>
      <w:hyperlink r:id="rId11">
        <w:r w:rsidDel="00000000" w:rsidR="00000000" w:rsidRPr="00000000">
          <w:rPr>
            <w:color w:val="0000ff"/>
            <w:u w:val="single"/>
            <w:rtl w:val="0"/>
          </w:rPr>
          <w:t xml:space="preserve">ayawavi.djahlin@acepa-africa.org</w:t>
        </w:r>
      </w:hyperlink>
      <w:r w:rsidDel="00000000" w:rsidR="00000000" w:rsidRPr="00000000">
        <w:rPr>
          <w:rtl w:val="0"/>
        </w:rPr>
      </w:r>
    </w:p>
    <w:p w:rsidR="00000000" w:rsidDel="00000000" w:rsidP="00000000" w:rsidRDefault="00000000" w:rsidRPr="00000000" w14:paraId="0000005A">
      <w:pPr>
        <w:tabs>
          <w:tab w:val="left" w:leader="none" w:pos="426"/>
          <w:tab w:val="left" w:leader="none" w:pos="1134"/>
        </w:tabs>
        <w:spacing w:line="240" w:lineRule="auto"/>
        <w:ind w:right="255"/>
        <w:jc w:val="both"/>
        <w:rPr/>
      </w:pPr>
      <w:r w:rsidDel="00000000" w:rsidR="00000000" w:rsidRPr="00000000">
        <w:rPr>
          <w:rtl w:val="0"/>
        </w:rPr>
      </w:r>
    </w:p>
    <w:p w:rsidR="00000000" w:rsidDel="00000000" w:rsidP="00000000" w:rsidRDefault="00000000" w:rsidRPr="00000000" w14:paraId="0000005B">
      <w:pPr>
        <w:tabs>
          <w:tab w:val="left" w:leader="none" w:pos="426"/>
          <w:tab w:val="left" w:leader="none" w:pos="1134"/>
        </w:tabs>
        <w:spacing w:line="240" w:lineRule="auto"/>
        <w:ind w:right="255"/>
        <w:jc w:val="both"/>
        <w:rPr>
          <w:color w:val="0000ff"/>
          <w:u w:val="single"/>
        </w:rPr>
      </w:pPr>
      <w:r w:rsidDel="00000000" w:rsidR="00000000" w:rsidRPr="00000000">
        <w:rPr>
          <w:rtl w:val="0"/>
        </w:rPr>
        <w:t xml:space="preserve">Pour toutes questions, veuillez envoyer un courriel à </w:t>
      </w:r>
      <w:hyperlink r:id="rId12">
        <w:r w:rsidDel="00000000" w:rsidR="00000000" w:rsidRPr="00000000">
          <w:rPr>
            <w:color w:val="0000ff"/>
            <w:u w:val="single"/>
            <w:rtl w:val="0"/>
          </w:rPr>
          <w:t xml:space="preserve">komitse.amouzouvi@acepa-africa.org</w:t>
        </w:r>
      </w:hyperlink>
      <w:r w:rsidDel="00000000" w:rsidR="00000000" w:rsidRPr="00000000">
        <w:rPr>
          <w:rtl w:val="0"/>
        </w:rPr>
        <w:t xml:space="preserve"> avec une copie à </w:t>
      </w:r>
      <w:hyperlink r:id="rId13">
        <w:r w:rsidDel="00000000" w:rsidR="00000000" w:rsidRPr="00000000">
          <w:rPr>
            <w:color w:val="0000ff"/>
            <w:u w:val="single"/>
            <w:rtl w:val="0"/>
          </w:rPr>
          <w:t xml:space="preserve">ayawavi.djahlin@acepa-africa.org</w:t>
        </w:r>
      </w:hyperlink>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tabs>
          <w:tab w:val="left" w:leader="none" w:pos="426"/>
          <w:tab w:val="left" w:leader="none" w:pos="1134"/>
        </w:tabs>
        <w:spacing w:line="360" w:lineRule="auto"/>
        <w:jc w:val="center"/>
        <w:rPr>
          <w:i w:val="1"/>
          <w:color w:val="000000"/>
        </w:rPr>
      </w:pPr>
      <w:r w:rsidDel="00000000" w:rsidR="00000000" w:rsidRPr="00000000">
        <w:rPr>
          <w:b w:val="1"/>
          <w:i w:val="1"/>
          <w:rtl w:val="0"/>
        </w:rPr>
        <w:t xml:space="preserve">NB : Les candidatures féminines sont fortement encouragées.</w:t>
      </w:r>
      <w:r w:rsidDel="00000000" w:rsidR="00000000" w:rsidRPr="00000000">
        <w:rPr>
          <w:rtl w:val="0"/>
        </w:rPr>
      </w:r>
    </w:p>
    <w:p w:rsidR="00000000" w:rsidDel="00000000" w:rsidP="00000000" w:rsidRDefault="00000000" w:rsidRPr="00000000" w14:paraId="0000005D">
      <w:pPr>
        <w:spacing w:after="0" w:line="240" w:lineRule="auto"/>
        <w:rPr>
          <w:b w:val="1"/>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648" w:top="540" w:left="720" w:right="720" w:header="708" w:footer="5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10299700</wp:posOffset>
              </wp:positionV>
              <wp:extent cx="377825" cy="283845"/>
              <wp:effectExtent b="0" l="0" r="0" t="0"/>
              <wp:wrapNone/>
              <wp:docPr id="577055902" name=""/>
              <a:graphic>
                <a:graphicData uri="http://schemas.microsoft.com/office/word/2010/wordprocessingShape">
                  <wps:wsp>
                    <wps:cNvSpPr/>
                    <wps:cNvPr id="2" name="Shape 2"/>
                    <wps:spPr>
                      <a:xfrm>
                        <a:off x="5161850" y="3642840"/>
                        <a:ext cx="368300" cy="274320"/>
                      </a:xfrm>
                      <a:prstGeom prst="foldedCorner">
                        <a:avLst>
                          <a:gd fmla="val 34560" name="adj"/>
                        </a:avLst>
                      </a:prstGeom>
                      <a:solidFill>
                        <a:srgbClr val="FFFFFF"/>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10299700</wp:posOffset>
              </wp:positionV>
              <wp:extent cx="377825" cy="283845"/>
              <wp:effectExtent b="0" l="0" r="0" t="0"/>
              <wp:wrapNone/>
              <wp:docPr id="57705590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77825" cy="283845"/>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leader="none" w:pos="4703"/>
        <w:tab w:val="right" w:leader="none" w:pos="9406"/>
      </w:tabs>
      <w:spacing w:after="0" w:line="240" w:lineRule="auto"/>
      <w:jc w:val="right"/>
      <w:rPr>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10299700</wp:posOffset>
              </wp:positionV>
              <wp:extent cx="377825" cy="283845"/>
              <wp:effectExtent b="0" l="0" r="0" t="0"/>
              <wp:wrapNone/>
              <wp:docPr id="577055903" name=""/>
              <a:graphic>
                <a:graphicData uri="http://schemas.microsoft.com/office/word/2010/wordprocessingShape">
                  <wps:wsp>
                    <wps:cNvSpPr/>
                    <wps:cNvPr id="3" name="Shape 3"/>
                    <wps:spPr>
                      <a:xfrm>
                        <a:off x="5161850" y="3642840"/>
                        <a:ext cx="368300" cy="274320"/>
                      </a:xfrm>
                      <a:prstGeom prst="foldedCorner">
                        <a:avLst>
                          <a:gd fmla="val 34560" name="adj"/>
                        </a:avLst>
                      </a:prstGeom>
                      <a:solidFill>
                        <a:srgbClr val="FFFFFF"/>
                      </a:solidFill>
                      <a:ln cap="flat" cmpd="sng" w="9525">
                        <a:solidFill>
                          <a:srgbClr val="80808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PAGE    \* MERGEFORMAT</w:t>
                          </w:r>
                          <w:r w:rsidDel="00000000" w:rsidR="00000000" w:rsidRPr="00000000">
                            <w:rPr>
                              <w:rFonts w:ascii="Calibri" w:cs="Calibri" w:eastAsia="Calibri" w:hAnsi="Calibri"/>
                              <w:b w:val="0"/>
                              <w:i w:val="0"/>
                              <w:smallCaps w:val="0"/>
                              <w:strike w:val="0"/>
                              <w:color w:val="000000"/>
                              <w:sz w:val="16"/>
                              <w:vertAlign w:val="baseline"/>
                            </w:rPr>
                            <w:t xml:space="preserve">2</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10299700</wp:posOffset>
              </wp:positionV>
              <wp:extent cx="377825" cy="283845"/>
              <wp:effectExtent b="0" l="0" r="0" t="0"/>
              <wp:wrapNone/>
              <wp:docPr id="57705590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77825" cy="283845"/>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1311.2 &amp; 1312.2 Y2Q4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4130"/>
  </w:style>
  <w:style w:type="paragraph" w:styleId="Titre1">
    <w:name w:val="heading 1"/>
    <w:basedOn w:val="Normal"/>
    <w:next w:val="Normal"/>
    <w:link w:val="Titre1Car"/>
    <w:uiPriority w:val="9"/>
    <w:qFormat w:val="1"/>
    <w:rsid w:val="00EF443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itre2">
    <w:name w:val="heading 2"/>
    <w:basedOn w:val="Normal"/>
    <w:next w:val="Normal"/>
    <w:link w:val="Titre2Car"/>
    <w:uiPriority w:val="9"/>
    <w:semiHidden w:val="1"/>
    <w:unhideWhenUsed w:val="1"/>
    <w:qFormat w:val="1"/>
    <w:rsid w:val="00EF4433"/>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paragraph" w:styleId="Paragraphedeliste">
    <w:name w:val="List Paragraph"/>
    <w:aliases w:val="Paragraphe à Puce,Bullets,References,Paragraphe de liste1,Numbered paragraph,tayibouu,List Paragraph (numbered (a)),Paragraphe de liste 1,Paragraphe  revu,Medium Grid 1 - Accent 21,ReferencesCxSpLast,Liste couleur - Accent 11,Titre1"/>
    <w:basedOn w:val="Normal"/>
    <w:link w:val="ParagraphedelisteCar"/>
    <w:uiPriority w:val="99"/>
    <w:qFormat w:val="1"/>
    <w:rsid w:val="00DF4130"/>
    <w:pPr>
      <w:ind w:left="720"/>
      <w:contextualSpacing w:val="1"/>
    </w:pPr>
  </w:style>
  <w:style w:type="paragraph" w:styleId="NormalWeb">
    <w:name w:val="Normal (Web)"/>
    <w:basedOn w:val="Normal"/>
    <w:uiPriority w:val="99"/>
    <w:unhideWhenUsed w:val="1"/>
    <w:rsid w:val="007269B8"/>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Notedefin">
    <w:name w:val="endnote text"/>
    <w:basedOn w:val="Normal"/>
    <w:link w:val="NotedefinCar"/>
    <w:uiPriority w:val="99"/>
    <w:semiHidden w:val="1"/>
    <w:unhideWhenUsed w:val="1"/>
    <w:rsid w:val="00A8719A"/>
    <w:pPr>
      <w:spacing w:after="0" w:line="240" w:lineRule="auto"/>
    </w:pPr>
    <w:rPr>
      <w:sz w:val="20"/>
      <w:szCs w:val="20"/>
    </w:rPr>
  </w:style>
  <w:style w:type="character" w:styleId="NotedefinCar" w:customStyle="1">
    <w:name w:val="Note de fin Car"/>
    <w:basedOn w:val="Policepardfaut"/>
    <w:link w:val="Notedefin"/>
    <w:uiPriority w:val="99"/>
    <w:semiHidden w:val="1"/>
    <w:rsid w:val="00A8719A"/>
    <w:rPr>
      <w:sz w:val="20"/>
      <w:szCs w:val="20"/>
    </w:rPr>
  </w:style>
  <w:style w:type="character" w:styleId="Appeldenotedefin">
    <w:name w:val="endnote reference"/>
    <w:basedOn w:val="Policepardfaut"/>
    <w:uiPriority w:val="99"/>
    <w:semiHidden w:val="1"/>
    <w:unhideWhenUsed w:val="1"/>
    <w:rsid w:val="00A8719A"/>
    <w:rPr>
      <w:vertAlign w:val="superscript"/>
    </w:rPr>
  </w:style>
  <w:style w:type="character" w:styleId="Titre2Car" w:customStyle="1">
    <w:name w:val="Titre 2 Car"/>
    <w:basedOn w:val="Policepardfaut"/>
    <w:link w:val="Titre2"/>
    <w:uiPriority w:val="9"/>
    <w:rsid w:val="00EF4433"/>
    <w:rPr>
      <w:rFonts w:asciiTheme="majorHAnsi" w:cstheme="majorBidi" w:eastAsiaTheme="majorEastAsia" w:hAnsiTheme="majorHAnsi"/>
      <w:color w:val="2f5496" w:themeColor="accent1" w:themeShade="0000BF"/>
      <w:sz w:val="26"/>
      <w:szCs w:val="26"/>
    </w:rPr>
  </w:style>
  <w:style w:type="character" w:styleId="Titre1Car" w:customStyle="1">
    <w:name w:val="Titre 1 Car"/>
    <w:basedOn w:val="Policepardfaut"/>
    <w:link w:val="Titre1"/>
    <w:uiPriority w:val="9"/>
    <w:rsid w:val="00EF4433"/>
    <w:rPr>
      <w:rFonts w:asciiTheme="majorHAnsi" w:cstheme="majorBidi" w:eastAsiaTheme="majorEastAsia" w:hAnsiTheme="majorHAnsi"/>
      <w:color w:val="2f5496" w:themeColor="accent1" w:themeShade="0000BF"/>
      <w:sz w:val="32"/>
      <w:szCs w:val="32"/>
    </w:rPr>
  </w:style>
  <w:style w:type="table" w:styleId="Grilledutableau">
    <w:name w:val="Table Grid"/>
    <w:basedOn w:val="TableauNormal"/>
    <w:uiPriority w:val="39"/>
    <w:rsid w:val="00703F2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ragraphedelisteCar" w:customStyle="1">
    <w:name w:val="Paragraphe de liste Car"/>
    <w:aliases w:val="Paragraphe à Puce Car,Bullets Car,References Car,Paragraphe de liste1 Car,Numbered paragraph Car,tayibouu Car,List Paragraph (numbered (a)) Car,Paragraphe de liste 1 Car,Paragraphe  revu Car,Medium Grid 1 - Accent 21 Car"/>
    <w:link w:val="Paragraphedeliste"/>
    <w:uiPriority w:val="34"/>
    <w:qFormat w:val="1"/>
    <w:locked w:val="1"/>
    <w:rsid w:val="004F78C3"/>
  </w:style>
  <w:style w:type="character" w:styleId="Lienhypertexte">
    <w:name w:val="Hyperlink"/>
    <w:basedOn w:val="Policepardfaut"/>
    <w:uiPriority w:val="99"/>
    <w:unhideWhenUsed w:val="1"/>
    <w:rsid w:val="00F047A8"/>
    <w:rPr>
      <w:color w:val="0000ff"/>
      <w:u w:val="single"/>
    </w:rPr>
  </w:style>
  <w:style w:type="character" w:styleId="Mentionnonrsolue1" w:customStyle="1">
    <w:name w:val="Mention non résolue1"/>
    <w:basedOn w:val="Policepardfaut"/>
    <w:uiPriority w:val="99"/>
    <w:semiHidden w:val="1"/>
    <w:unhideWhenUsed w:val="1"/>
    <w:rsid w:val="00A655D0"/>
    <w:rPr>
      <w:color w:val="605e5c"/>
      <w:shd w:color="auto" w:fill="e1dfdd" w:val="clear"/>
    </w:rPr>
  </w:style>
  <w:style w:type="paragraph" w:styleId="En-tte">
    <w:name w:val="header"/>
    <w:basedOn w:val="Normal"/>
    <w:link w:val="En-tteCar"/>
    <w:uiPriority w:val="99"/>
    <w:unhideWhenUsed w:val="1"/>
    <w:rsid w:val="008E2450"/>
    <w:pPr>
      <w:tabs>
        <w:tab w:val="center" w:pos="4703"/>
        <w:tab w:val="right" w:pos="9406"/>
      </w:tabs>
      <w:spacing w:after="0" w:line="240" w:lineRule="auto"/>
    </w:pPr>
  </w:style>
  <w:style w:type="character" w:styleId="En-tteCar" w:customStyle="1">
    <w:name w:val="En-tête Car"/>
    <w:basedOn w:val="Policepardfaut"/>
    <w:link w:val="En-tte"/>
    <w:uiPriority w:val="99"/>
    <w:rsid w:val="008E2450"/>
  </w:style>
  <w:style w:type="paragraph" w:styleId="Pieddepage">
    <w:name w:val="footer"/>
    <w:basedOn w:val="Normal"/>
    <w:link w:val="PieddepageCar"/>
    <w:uiPriority w:val="99"/>
    <w:unhideWhenUsed w:val="1"/>
    <w:rsid w:val="008E2450"/>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8E2450"/>
  </w:style>
  <w:style w:type="character" w:styleId="Textedelespacerserv">
    <w:name w:val="Placeholder Text"/>
    <w:basedOn w:val="Policepardfaut"/>
    <w:uiPriority w:val="99"/>
    <w:semiHidden w:val="1"/>
    <w:rsid w:val="00627BE8"/>
    <w:rPr>
      <w:color w:val="808080"/>
    </w:rPr>
  </w:style>
  <w:style w:type="paragraph" w:styleId="Rvision">
    <w:name w:val="Revision"/>
    <w:hidden w:val="1"/>
    <w:uiPriority w:val="99"/>
    <w:semiHidden w:val="1"/>
    <w:rsid w:val="00F53AFC"/>
    <w:pPr>
      <w:spacing w:after="0" w:line="240" w:lineRule="auto"/>
    </w:pPr>
  </w:style>
  <w:style w:type="character" w:styleId="Marquedecommentaire">
    <w:name w:val="annotation reference"/>
    <w:basedOn w:val="Policepardfaut"/>
    <w:uiPriority w:val="99"/>
    <w:semiHidden w:val="1"/>
    <w:unhideWhenUsed w:val="1"/>
    <w:rsid w:val="00F53AFC"/>
    <w:rPr>
      <w:sz w:val="16"/>
      <w:szCs w:val="16"/>
    </w:rPr>
  </w:style>
  <w:style w:type="paragraph" w:styleId="Commentaire">
    <w:name w:val="annotation text"/>
    <w:basedOn w:val="Normal"/>
    <w:link w:val="CommentaireCar"/>
    <w:uiPriority w:val="99"/>
    <w:semiHidden w:val="1"/>
    <w:unhideWhenUsed w:val="1"/>
    <w:rsid w:val="00F53AFC"/>
    <w:pPr>
      <w:spacing w:line="240" w:lineRule="auto"/>
    </w:pPr>
    <w:rPr>
      <w:sz w:val="20"/>
      <w:szCs w:val="20"/>
    </w:rPr>
  </w:style>
  <w:style w:type="character" w:styleId="CommentaireCar" w:customStyle="1">
    <w:name w:val="Commentaire Car"/>
    <w:basedOn w:val="Policepardfaut"/>
    <w:link w:val="Commentaire"/>
    <w:uiPriority w:val="99"/>
    <w:semiHidden w:val="1"/>
    <w:rsid w:val="00F53AFC"/>
    <w:rPr>
      <w:sz w:val="20"/>
      <w:szCs w:val="20"/>
    </w:rPr>
  </w:style>
  <w:style w:type="paragraph" w:styleId="Objetducommentaire">
    <w:name w:val="annotation subject"/>
    <w:basedOn w:val="Commentaire"/>
    <w:next w:val="Commentaire"/>
    <w:link w:val="ObjetducommentaireCar"/>
    <w:uiPriority w:val="99"/>
    <w:semiHidden w:val="1"/>
    <w:unhideWhenUsed w:val="1"/>
    <w:rsid w:val="00F53AFC"/>
    <w:rPr>
      <w:b w:val="1"/>
      <w:bCs w:val="1"/>
    </w:rPr>
  </w:style>
  <w:style w:type="character" w:styleId="ObjetducommentaireCar" w:customStyle="1">
    <w:name w:val="Objet du commentaire Car"/>
    <w:basedOn w:val="CommentaireCar"/>
    <w:link w:val="Objetducommentaire"/>
    <w:uiPriority w:val="99"/>
    <w:semiHidden w:val="1"/>
    <w:rsid w:val="00F53AFC"/>
    <w:rPr>
      <w:b w:val="1"/>
      <w:bCs w:val="1"/>
      <w:sz w:val="20"/>
      <w:szCs w:val="20"/>
    </w:rPr>
  </w:style>
  <w:style w:type="paragraph" w:styleId="Textedebulles">
    <w:name w:val="Balloon Text"/>
    <w:basedOn w:val="Normal"/>
    <w:link w:val="TextedebullesCar"/>
    <w:uiPriority w:val="99"/>
    <w:semiHidden w:val="1"/>
    <w:unhideWhenUsed w:val="1"/>
    <w:rsid w:val="00D76833"/>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D76833"/>
    <w:rPr>
      <w:rFonts w:ascii="Segoe UI" w:cs="Segoe UI" w:hAnsi="Segoe UI"/>
      <w:sz w:val="18"/>
      <w:szCs w:val="18"/>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6"/>
    <w:tblPr>
      <w:tblStyleRowBandSize w:val="1"/>
      <w:tblStyleColBandSize w:val="1"/>
      <w:tblCellMar>
        <w:top w:w="100.0" w:type="dxa"/>
        <w:left w:w="100.0" w:type="dxa"/>
        <w:bottom w:w="100.0" w:type="dxa"/>
        <w:right w:w="100.0" w:type="dxa"/>
      </w:tblCellMar>
    </w:tblPr>
  </w:style>
  <w:style w:type="table" w:styleId="a0" w:customStyle="1">
    <w:basedOn w:val="TableNormal6"/>
    <w:tblPr>
      <w:tblStyleRowBandSize w:val="1"/>
      <w:tblStyleColBandSize w:val="1"/>
      <w:tblCellMar>
        <w:top w:w="100.0" w:type="dxa"/>
        <w:left w:w="100.0" w:type="dxa"/>
        <w:bottom w:w="100.0" w:type="dxa"/>
        <w:right w:w="100.0" w:type="dxa"/>
      </w:tblCellMar>
    </w:tblPr>
  </w:style>
  <w:style w:type="table" w:styleId="a1" w:customStyle="1">
    <w:basedOn w:val="TableNormal6"/>
    <w:tblPr>
      <w:tblStyleRowBandSize w:val="1"/>
      <w:tblStyleColBandSize w:val="1"/>
      <w:tblCellMar>
        <w:top w:w="100.0" w:type="dxa"/>
        <w:left w:w="100.0" w:type="dxa"/>
        <w:bottom w:w="100.0" w:type="dxa"/>
        <w:right w:w="100.0" w:type="dxa"/>
      </w:tblCellMar>
    </w:tblPr>
  </w:style>
  <w:style w:type="table" w:styleId="a2" w:customStyle="1">
    <w:basedOn w:val="TableNormal6"/>
    <w:tblPr>
      <w:tblStyleRowBandSize w:val="1"/>
      <w:tblStyleColBandSize w:val="1"/>
      <w:tblCellMar>
        <w:top w:w="100.0" w:type="dxa"/>
        <w:left w:w="100.0" w:type="dxa"/>
        <w:bottom w:w="100.0" w:type="dxa"/>
        <w:right w:w="100.0" w:type="dxa"/>
      </w:tblCellMar>
    </w:tblPr>
  </w:style>
  <w:style w:type="table" w:styleId="a3" w:customStyle="1">
    <w:basedOn w:val="TableNormal6"/>
    <w:tblPr>
      <w:tblStyleRowBandSize w:val="1"/>
      <w:tblStyleColBandSize w:val="1"/>
      <w:tblCellMar>
        <w:top w:w="100.0" w:type="dxa"/>
        <w:left w:w="100.0" w:type="dxa"/>
        <w:bottom w:w="100.0" w:type="dxa"/>
        <w:right w:w="100.0" w:type="dxa"/>
      </w:tblCellMar>
    </w:tblPr>
  </w:style>
  <w:style w:type="table" w:styleId="a4" w:customStyle="1">
    <w:basedOn w:val="TableNormal6"/>
    <w:tblPr>
      <w:tblStyleRowBandSize w:val="1"/>
      <w:tblStyleColBandSize w:val="1"/>
      <w:tblCellMar>
        <w:left w:w="115.0" w:type="dxa"/>
        <w:right w:w="115.0" w:type="dxa"/>
      </w:tblCellMar>
    </w:tblPr>
  </w:style>
  <w:style w:type="table" w:styleId="a5" w:customStyle="1">
    <w:basedOn w:val="TableNormal5"/>
    <w:tblPr>
      <w:tblStyleRowBandSize w:val="1"/>
      <w:tblStyleColBandSize w:val="1"/>
      <w:tblCellMar>
        <w:top w:w="100.0" w:type="dxa"/>
        <w:left w:w="115.0" w:type="dxa"/>
        <w:bottom w:w="100.0" w:type="dxa"/>
        <w:right w:w="115.0" w:type="dxa"/>
      </w:tblCellMar>
    </w:tblPr>
  </w:style>
  <w:style w:type="table" w:styleId="a6" w:customStyle="1">
    <w:basedOn w:val="TableNormal5"/>
    <w:tblPr>
      <w:tblStyleRowBandSize w:val="1"/>
      <w:tblStyleColBandSize w:val="1"/>
      <w:tblCellMar>
        <w:top w:w="100.0" w:type="dxa"/>
        <w:left w:w="115.0" w:type="dxa"/>
        <w:bottom w:w="100.0" w:type="dxa"/>
        <w:right w:w="115.0" w:type="dxa"/>
      </w:tblCellMar>
    </w:tblPr>
  </w:style>
  <w:style w:type="table" w:styleId="a7" w:customStyle="1">
    <w:basedOn w:val="TableNormal5"/>
    <w:tblPr>
      <w:tblStyleRowBandSize w:val="1"/>
      <w:tblStyleColBandSize w:val="1"/>
      <w:tblCellMar>
        <w:top w:w="15.0" w:type="dxa"/>
        <w:left w:w="15.0" w:type="dxa"/>
        <w:bottom w:w="15.0" w:type="dxa"/>
        <w:right w:w="15.0" w:type="dxa"/>
      </w:tblCellMar>
    </w:tblPr>
  </w:style>
  <w:style w:type="table" w:styleId="a8" w:customStyle="1">
    <w:basedOn w:val="TableNormal5"/>
    <w:tblPr>
      <w:tblStyleRowBandSize w:val="1"/>
      <w:tblStyleColBandSize w:val="1"/>
      <w:tblCellMar>
        <w:top w:w="15.0" w:type="dxa"/>
        <w:left w:w="15.0" w:type="dxa"/>
        <w:bottom w:w="15.0" w:type="dxa"/>
        <w:right w:w="15.0" w:type="dxa"/>
      </w:tblCellMar>
    </w:tblPr>
  </w:style>
  <w:style w:type="table" w:styleId="a9" w:customStyle="1">
    <w:basedOn w:val="TableNormal5"/>
    <w:tblPr>
      <w:tblStyleRowBandSize w:val="1"/>
      <w:tblStyleColBandSize w:val="1"/>
      <w:tblCellMar>
        <w:top w:w="15.0" w:type="dxa"/>
        <w:left w:w="15.0" w:type="dxa"/>
        <w:bottom w:w="15.0" w:type="dxa"/>
        <w:right w:w="15.0" w:type="dxa"/>
      </w:tblCellMar>
    </w:tblPr>
  </w:style>
  <w:style w:type="table" w:styleId="aa" w:customStyle="1">
    <w:basedOn w:val="TableNormal3"/>
    <w:tblPr>
      <w:tblStyleRowBandSize w:val="1"/>
      <w:tblStyleColBandSize w:val="1"/>
      <w:tblCellMar>
        <w:top w:w="15.0" w:type="dxa"/>
        <w:left w:w="15.0" w:type="dxa"/>
        <w:bottom w:w="15.0" w:type="dxa"/>
        <w:right w:w="15.0" w:type="dxa"/>
      </w:tblCellMar>
    </w:tblPr>
  </w:style>
  <w:style w:type="table" w:styleId="ab" w:customStyle="1">
    <w:basedOn w:val="TableNormal3"/>
    <w:tblPr>
      <w:tblStyleRowBandSize w:val="1"/>
      <w:tblStyleColBandSize w:val="1"/>
      <w:tblCellMar>
        <w:top w:w="15.0" w:type="dxa"/>
        <w:left w:w="15.0" w:type="dxa"/>
        <w:bottom w:w="15.0" w:type="dxa"/>
        <w:right w:w="15.0" w:type="dxa"/>
      </w:tblCellMar>
    </w:tblPr>
  </w:style>
  <w:style w:type="table" w:styleId="ac" w:customStyle="1">
    <w:basedOn w:val="TableNormal3"/>
    <w:tblPr>
      <w:tblStyleRowBandSize w:val="1"/>
      <w:tblStyleColBandSize w:val="1"/>
      <w:tblCellMar>
        <w:top w:w="15.0" w:type="dxa"/>
        <w:left w:w="15.0" w:type="dxa"/>
        <w:bottom w:w="15.0" w:type="dxa"/>
        <w:right w:w="15.0" w:type="dxa"/>
      </w:tblCellMar>
    </w:tblPr>
  </w:style>
  <w:style w:type="table" w:styleId="ad" w:customStyle="1">
    <w:basedOn w:val="TableNormal3"/>
    <w:tblPr>
      <w:tblStyleRowBandSize w:val="1"/>
      <w:tblStyleColBandSize w:val="1"/>
      <w:tblCellMar>
        <w:top w:w="15.0" w:type="dxa"/>
        <w:left w:w="15.0" w:type="dxa"/>
        <w:bottom w:w="15.0" w:type="dxa"/>
        <w:right w:w="15.0" w:type="dxa"/>
      </w:tblCellMar>
    </w:tblPr>
  </w:style>
  <w:style w:type="table" w:styleId="ae" w:customStyle="1">
    <w:basedOn w:val="TableNormal3"/>
    <w:tblPr>
      <w:tblStyleRowBandSize w:val="1"/>
      <w:tblStyleColBandSize w:val="1"/>
      <w:tblCellMar>
        <w:top w:w="15.0" w:type="dxa"/>
        <w:left w:w="15.0" w:type="dxa"/>
        <w:bottom w:w="15.0" w:type="dxa"/>
        <w:right w:w="15.0" w:type="dxa"/>
      </w:tblCellMar>
    </w:tblPr>
  </w:style>
  <w:style w:type="table" w:styleId="af" w:customStyle="1">
    <w:basedOn w:val="TableNormal3"/>
    <w:tblPr>
      <w:tblStyleRowBandSize w:val="1"/>
      <w:tblStyleColBandSize w:val="1"/>
      <w:tblCellMar>
        <w:top w:w="15.0" w:type="dxa"/>
        <w:left w:w="15.0" w:type="dxa"/>
        <w:bottom w:w="15.0" w:type="dxa"/>
        <w:right w:w="15.0" w:type="dxa"/>
      </w:tblCellMar>
    </w:tblPr>
  </w:style>
  <w:style w:type="table" w:styleId="af0" w:customStyle="1">
    <w:basedOn w:val="TableNormal3"/>
    <w:tblPr>
      <w:tblStyleRowBandSize w:val="1"/>
      <w:tblStyleColBandSize w:val="1"/>
      <w:tblCellMar>
        <w:top w:w="15.0" w:type="dxa"/>
        <w:left w:w="15.0" w:type="dxa"/>
        <w:bottom w:w="15.0" w:type="dxa"/>
        <w:right w:w="15.0" w:type="dxa"/>
      </w:tblCellMar>
    </w:tblPr>
  </w:style>
  <w:style w:type="table" w:styleId="af1" w:customStyle="1">
    <w:basedOn w:val="TableNormal3"/>
    <w:tblPr>
      <w:tblStyleRowBandSize w:val="1"/>
      <w:tblStyleColBandSize w:val="1"/>
      <w:tblCellMar>
        <w:top w:w="15.0" w:type="dxa"/>
        <w:left w:w="15.0" w:type="dxa"/>
        <w:bottom w:w="15.0" w:type="dxa"/>
        <w:right w:w="15.0" w:type="dxa"/>
      </w:tblCellMar>
    </w:tblPr>
  </w:style>
  <w:style w:type="table" w:styleId="af2" w:customStyle="1">
    <w:basedOn w:val="TableNormal3"/>
    <w:tblPr>
      <w:tblStyleRowBandSize w:val="1"/>
      <w:tblStyleColBandSize w:val="1"/>
      <w:tblCellMar>
        <w:top w:w="15.0" w:type="dxa"/>
        <w:left w:w="15.0" w:type="dxa"/>
        <w:bottom w:w="15.0" w:type="dxa"/>
        <w:right w:w="15.0" w:type="dxa"/>
      </w:tblCellMar>
    </w:tblPr>
  </w:style>
  <w:style w:type="table" w:styleId="af3"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yawavi.djahlin@acepa-africa.org" TargetMode="External"/><Relationship Id="rId10" Type="http://schemas.openxmlformats.org/officeDocument/2006/relationships/hyperlink" Target="mailto:komitse.amouzouvi@acepa-africa.org" TargetMode="External"/><Relationship Id="rId13" Type="http://schemas.openxmlformats.org/officeDocument/2006/relationships/hyperlink" Target="mailto:ayawavi.djahlin@acepa-africa.org" TargetMode="External"/><Relationship Id="rId12" Type="http://schemas.openxmlformats.org/officeDocument/2006/relationships/hyperlink" Target="mailto:komitse.amouzouvi@acepa-afric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Ubrviwxef5XCq4qdCx42/2x4jQ==">CgMxLjAyCWguMzBqMHpsbDgAciExNmhaR2lLY3RaV2t4UTNwdm5tMGM3VXJPTHpOcjhRbHo=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2023-09-07T11:19:00Z</dcterms:created>
  <dc:creator>Emmanuel Komitse Amouzouvi</dc:creator>
</cp:coreProperties>
</file>